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/>
          <w:color w:val="0F766E"/>
          <w:sz w:val="44"/>
        </w:rPr>
        <w:t>Гастроэнтерология - кейс 1</w:t>
      </w:r>
    </w:p>
    <w:p>
      <w:pPr>
        <w:jc w:val="center"/>
      </w:pPr>
      <w:r>
        <w:rPr>
          <w:sz w:val="24"/>
        </w:rPr>
        <w:t>Materials for the selected specialty</w:t>
      </w:r>
    </w:p>
    <w:p>
      <w:pPr>
        <w:jc w:val="center"/>
      </w:pPr>
      <w:r>
        <w:rPr>
          <w:i/>
        </w:rPr>
        <w:t>Тип: Кейсы | Образование: Высшее образование | Специализация: Гастроэнтерология | Записей: 1 | Кейс: 1 | Вопросов: 12</w:t>
      </w:r>
    </w:p>
    <w:p>
      <w:r>
        <w:br w:type="page"/>
      </w:r>
    </w:p>
    <w:p>
      <w:pPr>
        <w:pStyle w:val="Heading1"/>
      </w:pPr>
      <w:r>
        <w:t>Гастроэнтерология - кейс 1</w:t>
      </w:r>
    </w:p>
    <w:p>
      <w:r>
        <w:rPr>
          <w:b/>
        </w:rPr>
        <w:t xml:space="preserve">Образование: </w:t>
      </w:r>
      <w:r>
        <w:t>Высшее образование</w:t>
      </w:r>
      <w:r>
        <w:rPr>
          <w:b/>
        </w:rPr>
        <w:t xml:space="preserve"> | Специализация: </w:t>
      </w:r>
      <w:r>
        <w:t>Гастроэнтерология</w:t>
      </w:r>
    </w:p>
    <w:p>
      <w:pPr>
        <w:pStyle w:val="Heading2"/>
      </w:pPr>
      <w:r>
        <w:t>1. УСЛОВИЕ СИТУАЦИОННОЙ ЗАДАЧИ</w:t>
      </w:r>
    </w:p>
    <w:p>
      <w:pPr>
        <w:pStyle w:val="Heading3"/>
      </w:pPr>
      <w:r>
        <w:t>1.1. Ситуация</w:t>
      </w:r>
    </w:p>
    <w:p>
      <w:pPr>
        <w:spacing w:after="58"/>
      </w:pPr>
      <w:r>
        <w:rPr>
          <w:b w:val="0"/>
          <w:i w:val="0"/>
        </w:rPr>
        <w:t>Пациентка С. 53 лет на приёме у врача-гастроэнтеролога</w:t>
      </w:r>
    </w:p>
    <w:p>
      <w:pPr>
        <w:pStyle w:val="Heading3"/>
      </w:pPr>
      <w:r>
        <w:t>1.2. Жалобы</w:t>
      </w:r>
    </w:p>
    <w:p>
      <w:pPr>
        <w:spacing w:after="58"/>
      </w:pPr>
      <w:r>
        <w:rPr>
          <w:b w:val="0"/>
          <w:i w:val="0"/>
        </w:rPr>
        <w:t>* на периодически возникающую ноющую боль в левой и правой подвздошных областях, усиливающуюся после акта дефекации +</w:t>
        <w:br/>
        <w:t>* боль и чувство распирания в прямой кишке перед актом дефекации +</w:t>
        <w:br/>
        <w:t>* наличие неизменённой крови в стуле +</w:t>
        <w:br/>
        <w:t>* недержание кала +</w:t>
        <w:br/>
        <w:t>* повышение температуры тела до субфебрильных цифр</w:t>
      </w:r>
    </w:p>
    <w:p>
      <w:pPr>
        <w:pStyle w:val="Heading3"/>
      </w:pPr>
      <w:r>
        <w:t>1.3. Анамнез заболевания</w:t>
      </w:r>
    </w:p>
    <w:p>
      <w:pPr>
        <w:spacing w:after="58"/>
      </w:pPr>
      <w:r>
        <w:rPr>
          <w:b w:val="0"/>
          <w:i w:val="0"/>
        </w:rPr>
        <w:t>Считает себя больной около одного года, когда впервые появились жалобы на периодическую ноющую боль в левой и правой подвздошных областях, усиливающуюся после акта дефекации, жидкий стул с примесью алой крови до 10 раз в сутки, повышение температуры до 38ºС, похудание на 20 кг за 2 месяца. Принимала спазмолитики, антидиарейные средства без положительного эффекта. В последнее время присоединились ноющие боли в прямой кишке, недержание кала, что заставило больную обратиться на консультацию к гастроэнтерологу.</w:t>
      </w:r>
    </w:p>
    <w:p>
      <w:pPr>
        <w:pStyle w:val="Heading3"/>
      </w:pPr>
      <w:r>
        <w:t>1.4. Анамнез жизни</w:t>
      </w:r>
    </w:p>
    <w:p>
      <w:pPr>
        <w:spacing w:after="58"/>
      </w:pPr>
      <w:r>
        <w:rPr>
          <w:b w:val="0"/>
          <w:i w:val="0"/>
        </w:rPr>
        <w:t>Родилась в Новосибирской области +</w:t>
        <w:br/>
        <w:t>Росла и развивалась соответственно возрасту. +</w:t>
        <w:br/>
        <w:t>Замужем, имеет дочь. +</w:t>
        <w:br/>
        <w:t>Образование: неполное среднее. +</w:t>
        <w:br/>
        <w:t>Работает сторожем. +</w:t>
        <w:br/>
        <w:t>Вредные привычки: отрицает. +</w:t>
        <w:br/>
        <w:t>Семейный анамнез не отягощен. +</w:t>
        <w:br/>
        <w:t>Аллергологический анамнез: пенициллин, тетрациклин, левомицетин, новокаин, лидокаин, фуразолидон - отек Квинке.</w:t>
      </w:r>
    </w:p>
    <w:p>
      <w:pPr>
        <w:pStyle w:val="Heading3"/>
      </w:pPr>
      <w:r>
        <w:t>1.5. Объективный статус</w:t>
      </w:r>
    </w:p>
    <w:p>
      <w:pPr>
        <w:spacing w:after="58"/>
      </w:pPr>
      <w:r>
        <w:rPr>
          <w:b w:val="0"/>
          <w:i w:val="0"/>
        </w:rPr>
        <w:t>Состояние средней тяжести. Температура тела 37,4 ºС. +</w:t>
        <w:br/>
        <w:t>Рост - 170 см, вес- 60 кг, ИМТ- 20 кг/м2 +</w:t>
        <w:br/>
        <w:t>Кожные покровы бледно-розовые, умеренной влажности. +</w:t>
        <w:br/>
        <w:t>Периферические лимфоузлы не пальпируются. Отёков нет +</w:t>
        <w:br/>
        <w:t>При сравнительной перкуссии лёгких – лёгочный звук. +</w:t>
        <w:br/>
        <w:t>При аускультации: дыхание везикулярное, хрипов нет, ЧДД 18 в минуту. +</w:t>
        <w:br/>
        <w:t>Тоны сердца  ясные,  ритм правильный, ЧСС 80 в минуту, АД 110 и 70 мм рт. ст. +</w:t>
        <w:br/>
        <w:t>При пальпации живот мягкий, болезненный в правой и левой подвздошных областях, перистальтика выслушивается во всех отделах. +</w:t>
        <w:br/>
        <w:t>Симптом Щеткина-Блюмберга не определяется. +</w:t>
        <w:br/>
        <w:t>Печень, селезенка не увеличена. +</w:t>
        <w:br/>
        <w:t>Симптом поколачивания по поясничной области отрицательный с обеих сторон. +</w:t>
        <w:br/>
        <w:t>Мочеиспускание не изменено</w:t>
      </w:r>
    </w:p>
    <w:p>
      <w:pPr>
        <w:pStyle w:val="Heading2"/>
      </w:pPr>
      <w:r>
        <w:t>1. План обследования</w:t>
      </w:r>
    </w:p>
    <w:p>
      <w:r>
        <w:rPr>
          <w:b/>
          <w:color w:val="0F766E"/>
        </w:rPr>
        <w:t>1. Вопрос</w:t>
      </w:r>
    </w:p>
    <w:p>
      <w:r>
        <w:rPr>
          <w:b w:val="0"/>
          <w:i w:val="0"/>
        </w:rPr>
        <w:t>К основным лабораторным методам обследования для постановки диагноза относятся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С-реактивный белок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общий анализ крови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оценка содержания гликозилированного гемоглобина в сыворотке крови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биохимический анализ крови</w:t>
      </w:r>
    </w:p>
    <w:p>
      <w:pPr>
        <w:pStyle w:val="ListBullet"/>
      </w:pPr>
      <w:r>
        <w:rPr>
          <w:b/>
        </w:rPr>
        <w:t xml:space="preserve">5. </w:t>
      </w:r>
      <w:r>
        <w:rPr>
          <w:b w:val="0"/>
          <w:i w:val="0"/>
        </w:rPr>
        <w:t>оценка содержания липидов в сыворотке крови</w:t>
      </w:r>
    </w:p>
    <w:p>
      <w:pPr>
        <w:pStyle w:val="ListBullet"/>
      </w:pPr>
      <w:r>
        <w:rPr>
          <w:b/>
        </w:rPr>
        <w:t xml:space="preserve">6. </w:t>
      </w:r>
      <w:r>
        <w:rPr>
          <w:b/>
          <w:i w:val="0"/>
          <w:color w:val="0F766E"/>
          <w:highlight w:val="yellow"/>
        </w:rPr>
        <w:t>анализ кала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Правильные ответы: </w:t>
      </w:r>
      <w:r>
        <w:rPr>
          <w:b/>
          <w:i w:val="0"/>
        </w:rPr>
        <w:t>С-реактивный белок; общий анализ крови; биохимический анализ крови; анализ кала</w:t>
      </w:r>
    </w:p>
    <w:p>
      <w:pPr>
        <w:ind w:left="504"/>
      </w:pPr>
      <w:r>
        <w:rPr>
          <w:b w:val="0"/>
          <w:i/>
        </w:rPr>
        <w:t>Позволяет определить наличие острой фазы воспалительного процесса.</w:t>
        <w:br/>
        <w:br/>
        <w:t>Клинические рекомендации Российской Гастроэнтерологической Ассоциации и Ассоциации колопроктологов России Болезнь Крона, 2020 год, раздел «Лабораторные диагностические исследования»</w:t>
        <w:br/>
        <w:br/>
      </w:r>
      <w:hyperlink r:id="rId9">
        <w:r>
          <w:rPr>
            <w:color w:val="0F766E"/>
            <w:u w:val="single"/>
          </w:rPr>
          <w:t>Клинические рекомендации Министерства здравоохранения Российской Федерации. Болезнь Крона. 2020 г.</w:t>
        </w:r>
      </w:hyperlink>
      <w:r>
        <w:rPr>
          <w:b w:val="0"/>
          <w:i/>
        </w:rPr>
        <w:br/>
        <w:br/>
      </w:r>
      <w:hyperlink r:id="rId10">
        <w:r>
          <w:rPr>
            <w:color w:val="0F766E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Всем пациентам с целью определения степени анемии, признаков системного воспаления и метаболических нарушений рекомендованным минимумом лабораторной диагностики является исследование крови</w:t>
        <w:br/>
        <w:br/>
        <w:t>Клинические рекомендации Российской Гастроэнтерологической Ассоциации и Ассоциации колопроктологов России Болезнь Крона, 2020 год, раздел «Лабораторные диагностические исследования»</w:t>
        <w:br/>
        <w:br/>
      </w:r>
      <w:hyperlink r:id="rId9">
        <w:r>
          <w:rPr>
            <w:color w:val="0F766E"/>
            <w:u w:val="single"/>
          </w:rPr>
          <w:t>Клинические рекомендации Министерства здравоохранения Российской Федерации. Болезнь Крона. 2020 г.</w:t>
        </w:r>
      </w:hyperlink>
      <w:r>
        <w:rPr>
          <w:b w:val="0"/>
          <w:i/>
        </w:rPr>
        <w:br/>
        <w:br/>
      </w:r>
      <w:hyperlink r:id="rId11">
        <w:r>
          <w:rPr>
            <w:color w:val="0F766E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По биохимическому анализу крови можно выявить снижение уровня железа, белка. +</w:t>
        <w:br/>
        <w:t>Рекомендовано выполнение исследование уровня свободного и связанного билирубина, креатинина, мочевины, глюкозы, натрия, калия, общего кальция в крови, определение активности аланинаминотрансферазы, аспартатаминотрансферазы, щелочной фосфатазы, амилазы в крови</w:t>
        <w:br/>
        <w:br/>
        <w:t>Клинические рекомендации Российской Гастроэнтерологической Ассоциации и Ассоциации колопроктологов России Болезнь Крона, 2020 год, раздел «Лабораторные диагностические исследования»</w:t>
        <w:br/>
        <w:br/>
      </w:r>
      <w:hyperlink r:id="rId9">
        <w:r>
          <w:rPr>
            <w:color w:val="0F766E"/>
            <w:u w:val="single"/>
          </w:rPr>
          <w:t>Клинические рекомендации Министерства здравоохранения Российской Федерации. Болезнь Крона. 2020 г.</w:t>
        </w:r>
      </w:hyperlink>
      <w:r>
        <w:rPr>
          <w:b w:val="0"/>
          <w:i/>
        </w:rPr>
        <w:br/>
        <w:br/>
      </w:r>
      <w:hyperlink r:id="rId12">
        <w:r>
          <w:rPr>
            <w:color w:val="0F766E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Общий анализ кала назначается для исключения наличия крови, а при микроскопическом исследовании определяется количество лейкоцитов, эритроцитов, цилиндрического эпителия и слизи.</w:t>
        <w:br/>
        <w:br/>
        <w:t>Пациентам с болезнью Крона при оценке активности воспаления в кишечнике рекомендовано выполнять анализ кала на фекальный кальпротектин.</w:t>
        <w:br/>
        <w:br/>
        <w:t>Также анализ кала проводится для исключения острой кишечной инфекции (при остром начале), паразитарного колита (при остром начале), исследование токсинов А и В Clostridium difficile (при недавно проведенном курсе антибиотикотерапии или пребывании в стационаре для исключения псевдомембранозного колита).</w:t>
        <w:br/>
        <w:br/>
        <w:t>Клинические рекомендации Российской Гастроэнтерологической Ассоциации и Ассоциации колопроктологов России Болезнь Крона, 2020 год, раздел «Лабораторные диагностические исследования»</w:t>
        <w:br/>
        <w:br/>
      </w:r>
      <w:hyperlink r:id="rId9">
        <w:r>
          <w:rPr>
            <w:color w:val="0F766E"/>
            <w:u w:val="single"/>
          </w:rPr>
          <w:t>Клинические рекомендации Министерства здравоохранения Российской Федерации. Болезнь Крона. 2020 г.</w:t>
        </w:r>
      </w:hyperlink>
      <w:r>
        <w:rPr>
          <w:b w:val="0"/>
          <w:i/>
        </w:rPr>
        <w:br/>
        <w:br/>
      </w:r>
      <w:hyperlink r:id="rId13">
        <w:r>
          <w:rPr>
            <w:color w:val="0F766E"/>
            <w:u w:val="single"/>
          </w:rPr>
          <w:t>(1)</w:t>
        </w:r>
      </w:hyperlink>
      <w:r>
        <w:rPr>
          <w:b w:val="0"/>
          <w:i/>
        </w:rPr>
        <w:br/>
        <w:br/>
      </w:r>
      <w:hyperlink r:id="rId14">
        <w:r>
          <w:rPr>
            <w:color w:val="0F766E"/>
            <w:u w:val="single"/>
          </w:rPr>
          <w:t>(2)</w:t>
        </w:r>
      </w:hyperlink>
      <w:r>
        <w:rPr>
          <w:b w:val="0"/>
          <w:i/>
        </w:rPr>
        <w:br/>
        <w:br/>
      </w:r>
      <w:hyperlink r:id="rId15">
        <w:r>
          <w:rPr>
            <w:color w:val="0F766E"/>
            <w:u w:val="single"/>
          </w:rPr>
          <w:t>(3)</w:t>
        </w:r>
      </w:hyperlink>
    </w:p>
    <w:p>
      <w:pPr>
        <w:pStyle w:val="Heading2"/>
      </w:pPr>
      <w:r>
        <w:t>3. Результаты лабораторных методов обследования</w:t>
      </w:r>
    </w:p>
    <w:p>
      <w:pPr>
        <w:pStyle w:val="Heading3"/>
      </w:pPr>
      <w:r>
        <w:t>3.1. Общий анализ крови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3408"/>
        <w:gridCol w:w="3408"/>
        <w:gridCol w:w="3408"/>
      </w:tblGrid>
      <w:tr>
        <w:tc>
          <w:tcPr>
            <w:tcW w:type="dxa" w:w="3408"/>
          </w:tcPr>
          <w:p>
            <w:r>
              <w:rPr>
                <w:b/>
                <w:i w:val="0"/>
              </w:rPr>
              <w:t>===</w:t>
            </w:r>
          </w:p>
        </w:tc>
        <w:tc>
          <w:tcPr>
            <w:tcW w:type="dxa" w:w="3408"/>
          </w:tcPr>
          <w:p>
            <w:r>
              <w:rPr>
                <w:b/>
                <w:i w:val="0"/>
              </w:rPr>
              <w:t>Показатель</w:t>
            </w:r>
          </w:p>
        </w:tc>
        <w:tc>
          <w:tcPr>
            <w:tcW w:type="dxa" w:w="3408"/>
          </w:tcPr>
          <w:p>
            <w:r>
              <w:rPr>
                <w:b/>
                <w:i w:val="0"/>
              </w:rPr>
              <w:t>Результат</w:t>
            </w:r>
          </w:p>
        </w:tc>
      </w:tr>
      <w:tr>
        <w:tc>
          <w:tcPr>
            <w:tcW w:type="dxa" w:w="3408"/>
          </w:tcPr>
          <w:p>
            <w:r>
              <w:rPr>
                <w:b w:val="0"/>
                <w:i w:val="0"/>
              </w:rPr>
              <w:t>Норма</w:t>
            </w:r>
          </w:p>
        </w:tc>
        <w:tc>
          <w:tcPr>
            <w:tcW w:type="dxa" w:w="3408"/>
          </w:tcPr>
          <w:p>
            <w:r>
              <w:rPr>
                <w:b w:val="0"/>
                <w:i w:val="0"/>
              </w:rPr>
              <w:t>Эритроциты (1012/л)</w:t>
            </w:r>
          </w:p>
        </w:tc>
        <w:tc>
          <w:tcPr>
            <w:tcW w:type="dxa" w:w="3408"/>
          </w:tcPr>
          <w:p>
            <w:r>
              <w:rPr>
                <w:b w:val="0"/>
                <w:i w:val="0"/>
              </w:rPr>
              <w:t>3,1</w:t>
            </w:r>
          </w:p>
        </w:tc>
      </w:tr>
      <w:tr>
        <w:tc>
          <w:tcPr>
            <w:tcW w:type="dxa" w:w="3408"/>
          </w:tcPr>
          <w:p>
            <w:r>
              <w:rPr>
                <w:b w:val="0"/>
                <w:i w:val="0"/>
              </w:rPr>
              <w:t>м. 4,4-5,0 +</w:t>
              <w:br/>
              <w:t>ж. 3,8-4,5</w:t>
            </w:r>
          </w:p>
        </w:tc>
        <w:tc>
          <w:tcPr>
            <w:tcW w:type="dxa" w:w="3408"/>
          </w:tcPr>
          <w:p>
            <w:r>
              <w:rPr>
                <w:b w:val="0"/>
                <w:i w:val="0"/>
              </w:rPr>
              <w:t>Гемоглобин (г/л)</w:t>
            </w:r>
          </w:p>
        </w:tc>
        <w:tc>
          <w:tcPr>
            <w:tcW w:type="dxa" w:w="3408"/>
          </w:tcPr>
          <w:p>
            <w:r>
              <w:rPr>
                <w:b w:val="0"/>
                <w:i w:val="0"/>
              </w:rPr>
              <w:t>105</w:t>
            </w:r>
          </w:p>
        </w:tc>
      </w:tr>
      <w:tr>
        <w:tc>
          <w:tcPr>
            <w:tcW w:type="dxa" w:w="3408"/>
          </w:tcPr>
          <w:p>
            <w:r>
              <w:rPr>
                <w:b w:val="0"/>
                <w:i w:val="0"/>
              </w:rPr>
              <w:t>м. 130-160 +</w:t>
              <w:br/>
              <w:t>ж. 120-140</w:t>
            </w:r>
          </w:p>
        </w:tc>
        <w:tc>
          <w:tcPr>
            <w:tcW w:type="dxa" w:w="3408"/>
          </w:tcPr>
          <w:p>
            <w:r>
              <w:rPr>
                <w:b w:val="0"/>
                <w:i w:val="0"/>
              </w:rPr>
              <w:t>Гематокрит (%)</w:t>
            </w:r>
          </w:p>
        </w:tc>
        <w:tc>
          <w:tcPr>
            <w:tcW w:type="dxa" w:w="3408"/>
          </w:tcPr>
          <w:p>
            <w:r>
              <w:rPr>
                <w:b w:val="0"/>
                <w:i w:val="0"/>
              </w:rPr>
              <w:t>41,0</w:t>
            </w:r>
          </w:p>
        </w:tc>
      </w:tr>
      <w:tr>
        <w:tc>
          <w:tcPr>
            <w:tcW w:type="dxa" w:w="3408"/>
          </w:tcPr>
          <w:p>
            <w:r>
              <w:rPr>
                <w:b w:val="0"/>
                <w:i w:val="0"/>
              </w:rPr>
              <w:t>35-52</w:t>
            </w:r>
          </w:p>
        </w:tc>
        <w:tc>
          <w:tcPr>
            <w:tcW w:type="dxa" w:w="3408"/>
          </w:tcPr>
          <w:p>
            <w:r>
              <w:rPr>
                <w:b w:val="0"/>
                <w:i w:val="0"/>
              </w:rPr>
              <w:t>ЦП</w:t>
            </w:r>
          </w:p>
        </w:tc>
        <w:tc>
          <w:tcPr>
            <w:tcW w:type="dxa" w:w="3408"/>
          </w:tcPr>
          <w:p>
            <w:r>
              <w:rPr>
                <w:b w:val="0"/>
                <w:i w:val="0"/>
              </w:rPr>
              <w:t>0,88</w:t>
            </w:r>
          </w:p>
        </w:tc>
      </w:tr>
      <w:tr>
        <w:tc>
          <w:tcPr>
            <w:tcW w:type="dxa" w:w="3408"/>
          </w:tcPr>
          <w:p>
            <w:r>
              <w:rPr>
                <w:b w:val="0"/>
                <w:i w:val="0"/>
              </w:rPr>
              <w:t>0,80-1,05</w:t>
            </w:r>
          </w:p>
        </w:tc>
        <w:tc>
          <w:tcPr>
            <w:tcW w:type="dxa" w:w="3408"/>
          </w:tcPr>
          <w:p>
            <w:r>
              <w:rPr>
                <w:b w:val="0"/>
                <w:i w:val="0"/>
              </w:rPr>
              <w:t>Лейкоциты (тыс)</w:t>
            </w:r>
          </w:p>
        </w:tc>
        <w:tc>
          <w:tcPr>
            <w:tcW w:type="dxa" w:w="3408"/>
          </w:tcPr>
          <w:p>
            <w:r>
              <w:rPr>
                <w:b w:val="0"/>
                <w:i w:val="0"/>
              </w:rPr>
              <w:t>12,3</w:t>
            </w:r>
          </w:p>
        </w:tc>
      </w:tr>
      <w:tr>
        <w:tc>
          <w:tcPr>
            <w:tcW w:type="dxa" w:w="3408"/>
          </w:tcPr>
          <w:p>
            <w:r>
              <w:rPr>
                <w:b w:val="0"/>
                <w:i w:val="0"/>
              </w:rPr>
              <w:t>4,0-11</w:t>
            </w:r>
          </w:p>
        </w:tc>
        <w:tc>
          <w:tcPr>
            <w:tcW w:type="dxa" w:w="3408"/>
          </w:tcPr>
          <w:p>
            <w:r>
              <w:rPr>
                <w:b w:val="0"/>
                <w:i w:val="0"/>
              </w:rPr>
              <w:t>Нейтрофилы (%)</w:t>
            </w:r>
          </w:p>
        </w:tc>
        <w:tc>
          <w:tcPr>
            <w:tcW w:type="dxa" w:w="3408"/>
          </w:tcPr>
          <w:p>
            <w:r>
              <w:rPr>
                <w:b w:val="0"/>
                <w:i w:val="0"/>
              </w:rPr>
              <w:t>51,4</w:t>
            </w:r>
          </w:p>
        </w:tc>
      </w:tr>
      <w:tr>
        <w:tc>
          <w:tcPr>
            <w:tcW w:type="dxa" w:w="3408"/>
          </w:tcPr>
          <w:p>
            <w:r>
              <w:rPr>
                <w:b w:val="0"/>
                <w:i w:val="0"/>
              </w:rPr>
              <w:t>45-72</w:t>
            </w:r>
          </w:p>
        </w:tc>
        <w:tc>
          <w:tcPr>
            <w:tcW w:type="dxa" w:w="3408"/>
          </w:tcPr>
          <w:p>
            <w:r>
              <w:rPr>
                <w:b w:val="0"/>
                <w:i w:val="0"/>
              </w:rPr>
              <w:t>Лимфоциты  (%)</w:t>
            </w:r>
          </w:p>
        </w:tc>
        <w:tc>
          <w:tcPr>
            <w:tcW w:type="dxa" w:w="3408"/>
          </w:tcPr>
          <w:p>
            <w:r>
              <w:rPr>
                <w:b w:val="0"/>
                <w:i w:val="0"/>
              </w:rPr>
              <w:t>35,4</w:t>
            </w:r>
          </w:p>
        </w:tc>
      </w:tr>
      <w:tr>
        <w:tc>
          <w:tcPr>
            <w:tcW w:type="dxa" w:w="3408"/>
          </w:tcPr>
          <w:p>
            <w:r>
              <w:rPr>
                <w:b w:val="0"/>
                <w:i w:val="0"/>
              </w:rPr>
              <w:t>18-44</w:t>
            </w:r>
          </w:p>
        </w:tc>
        <w:tc>
          <w:tcPr>
            <w:tcW w:type="dxa" w:w="3408"/>
          </w:tcPr>
          <w:p>
            <w:r>
              <w:rPr>
                <w:b w:val="0"/>
                <w:i w:val="0"/>
              </w:rPr>
              <w:t>Моноциты  (%)</w:t>
            </w:r>
          </w:p>
        </w:tc>
        <w:tc>
          <w:tcPr>
            <w:tcW w:type="dxa" w:w="3408"/>
          </w:tcPr>
          <w:p>
            <w:r>
              <w:rPr>
                <w:b w:val="0"/>
                <w:i w:val="0"/>
              </w:rPr>
              <w:t>10,3</w:t>
            </w:r>
          </w:p>
        </w:tc>
      </w:tr>
      <w:tr>
        <w:tc>
          <w:tcPr>
            <w:tcW w:type="dxa" w:w="3408"/>
          </w:tcPr>
          <w:p>
            <w:r>
              <w:rPr>
                <w:b w:val="0"/>
                <w:i w:val="0"/>
              </w:rPr>
              <w:t>2-10</w:t>
            </w:r>
          </w:p>
        </w:tc>
        <w:tc>
          <w:tcPr>
            <w:tcW w:type="dxa" w:w="3408"/>
          </w:tcPr>
          <w:p>
            <w:r>
              <w:rPr>
                <w:b w:val="0"/>
                <w:i w:val="0"/>
              </w:rPr>
              <w:t>Эозинофилы  (%)</w:t>
            </w:r>
          </w:p>
        </w:tc>
        <w:tc>
          <w:tcPr>
            <w:tcW w:type="dxa" w:w="3408"/>
          </w:tcPr>
          <w:p>
            <w:r>
              <w:rPr>
                <w:b w:val="0"/>
                <w:i w:val="0"/>
              </w:rPr>
              <w:t>2,2</w:t>
            </w:r>
          </w:p>
        </w:tc>
      </w:tr>
      <w:tr>
        <w:tc>
          <w:tcPr>
            <w:tcW w:type="dxa" w:w="3408"/>
          </w:tcPr>
          <w:p>
            <w:r>
              <w:rPr>
                <w:b w:val="0"/>
                <w:i w:val="0"/>
              </w:rPr>
              <w:t>0-5</w:t>
            </w:r>
          </w:p>
        </w:tc>
        <w:tc>
          <w:tcPr>
            <w:tcW w:type="dxa" w:w="3408"/>
          </w:tcPr>
          <w:p>
            <w:r>
              <w:rPr>
                <w:b w:val="0"/>
                <w:i w:val="0"/>
              </w:rPr>
              <w:t>Базофилы  (%)</w:t>
            </w:r>
          </w:p>
        </w:tc>
        <w:tc>
          <w:tcPr>
            <w:tcW w:type="dxa" w:w="3408"/>
          </w:tcPr>
          <w:p>
            <w:r>
              <w:rPr>
                <w:b w:val="0"/>
                <w:i w:val="0"/>
              </w:rPr>
              <w:t>0,7</w:t>
            </w:r>
          </w:p>
        </w:tc>
      </w:tr>
      <w:tr>
        <w:tc>
          <w:tcPr>
            <w:tcW w:type="dxa" w:w="3408"/>
          </w:tcPr>
          <w:p>
            <w:r>
              <w:rPr>
                <w:b w:val="0"/>
                <w:i w:val="0"/>
              </w:rPr>
              <w:t>0-2</w:t>
            </w:r>
          </w:p>
        </w:tc>
        <w:tc>
          <w:tcPr>
            <w:tcW w:type="dxa" w:w="3408"/>
          </w:tcPr>
          <w:p>
            <w:r>
              <w:rPr>
                <w:b w:val="0"/>
                <w:i w:val="0"/>
              </w:rPr>
              <w:t>Тромбоциты  (109/л)</w:t>
            </w:r>
          </w:p>
        </w:tc>
        <w:tc>
          <w:tcPr>
            <w:tcW w:type="dxa" w:w="3408"/>
          </w:tcPr>
          <w:p>
            <w:r>
              <w:rPr>
                <w:b w:val="0"/>
                <w:i w:val="0"/>
              </w:rPr>
              <w:t>450</w:t>
            </w:r>
          </w:p>
        </w:tc>
      </w:tr>
      <w:tr>
        <w:tc>
          <w:tcPr>
            <w:tcW w:type="dxa" w:w="3408"/>
          </w:tcPr>
          <w:p>
            <w:r>
              <w:rPr>
                <w:b w:val="0"/>
                <w:i w:val="0"/>
              </w:rPr>
              <w:t>150-450</w:t>
            </w:r>
          </w:p>
        </w:tc>
        <w:tc>
          <w:tcPr>
            <w:tcW w:type="dxa" w:w="3408"/>
          </w:tcPr>
          <w:p>
            <w:r>
              <w:rPr>
                <w:b w:val="0"/>
                <w:i w:val="0"/>
              </w:rPr>
              <w:t>СОЭ  (мм/ч)</w:t>
            </w:r>
          </w:p>
        </w:tc>
        <w:tc>
          <w:tcPr>
            <w:tcW w:type="dxa" w:w="3408"/>
          </w:tcPr>
          <w:p>
            <w:r>
              <w:rPr>
                <w:b w:val="0"/>
                <w:i w:val="0"/>
              </w:rPr>
              <w:t>43</w:t>
            </w:r>
          </w:p>
        </w:tc>
      </w:tr>
      <w:tr>
        <w:tc>
          <w:tcPr>
            <w:tcW w:type="dxa" w:w="3408"/>
          </w:tcPr>
          <w:p>
            <w:r>
              <w:rPr>
                <w:b w:val="0"/>
                <w:i w:val="0"/>
              </w:rPr>
              <w:t>0- 20</w:t>
            </w:r>
          </w:p>
        </w:tc>
        <w:tc>
          <w:tcPr>
            <w:tcW w:type="dxa" w:w="3408"/>
          </w:tcPr>
          <w:p>
            <w:r>
              <w:rPr>
                <w:b w:val="0"/>
                <w:i w:val="0"/>
              </w:rPr>
              <w:t>===</w:t>
            </w:r>
          </w:p>
        </w:tc>
        <w:tc>
          <w:tcPr>
            <w:tcW w:type="dxa" w:w="3408"/>
          </w:tcPr>
          <w:p/>
        </w:tc>
      </w:tr>
    </w:tbl>
    <w:p/>
    <w:p>
      <w:pPr>
        <w:pStyle w:val="Heading3"/>
      </w:pPr>
      <w:r>
        <w:t>3.2. Биохимический анализ крови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3408"/>
        <w:gridCol w:w="3408"/>
        <w:gridCol w:w="3408"/>
      </w:tblGrid>
      <w:tr>
        <w:tc>
          <w:tcPr>
            <w:tcW w:type="dxa" w:w="3408"/>
          </w:tcPr>
          <w:p>
            <w:r>
              <w:rPr>
                <w:b/>
                <w:i w:val="0"/>
              </w:rPr>
              <w:t>===</w:t>
            </w:r>
          </w:p>
        </w:tc>
        <w:tc>
          <w:tcPr>
            <w:tcW w:type="dxa" w:w="3408"/>
          </w:tcPr>
          <w:p>
            <w:r>
              <w:rPr>
                <w:b/>
                <w:i w:val="0"/>
              </w:rPr>
              <w:t>Показатель</w:t>
            </w:r>
          </w:p>
        </w:tc>
        <w:tc>
          <w:tcPr>
            <w:tcW w:type="dxa" w:w="3408"/>
          </w:tcPr>
          <w:p>
            <w:r>
              <w:rPr>
                <w:b/>
                <w:i w:val="0"/>
              </w:rPr>
              <w:t>Результат</w:t>
            </w:r>
          </w:p>
        </w:tc>
      </w:tr>
      <w:tr>
        <w:tc>
          <w:tcPr>
            <w:tcW w:type="dxa" w:w="3408"/>
          </w:tcPr>
          <w:p>
            <w:r>
              <w:rPr>
                <w:b w:val="0"/>
                <w:i w:val="0"/>
              </w:rPr>
              <w:t>Норма</w:t>
            </w:r>
          </w:p>
        </w:tc>
        <w:tc>
          <w:tcPr>
            <w:tcW w:type="dxa" w:w="3408"/>
          </w:tcPr>
          <w:p>
            <w:r>
              <w:rPr>
                <w:b w:val="0"/>
                <w:i w:val="0"/>
              </w:rPr>
              <w:t>Общий белок (г/л)</w:t>
            </w:r>
          </w:p>
        </w:tc>
        <w:tc>
          <w:tcPr>
            <w:tcW w:type="dxa" w:w="3408"/>
          </w:tcPr>
          <w:p>
            <w:r>
              <w:rPr>
                <w:b w:val="0"/>
                <w:i w:val="0"/>
              </w:rPr>
              <w:t>77,2</w:t>
            </w:r>
          </w:p>
        </w:tc>
      </w:tr>
      <w:tr>
        <w:tc>
          <w:tcPr>
            <w:tcW w:type="dxa" w:w="3408"/>
          </w:tcPr>
          <w:p>
            <w:r>
              <w:rPr>
                <w:b w:val="0"/>
                <w:i w:val="0"/>
              </w:rPr>
              <w:t>57-82</w:t>
            </w:r>
          </w:p>
        </w:tc>
        <w:tc>
          <w:tcPr>
            <w:tcW w:type="dxa" w:w="3408"/>
          </w:tcPr>
          <w:p>
            <w:r>
              <w:rPr>
                <w:b w:val="0"/>
                <w:i w:val="0"/>
              </w:rPr>
              <w:t>Альбумин (г/л)</w:t>
            </w:r>
          </w:p>
        </w:tc>
        <w:tc>
          <w:tcPr>
            <w:tcW w:type="dxa" w:w="3408"/>
          </w:tcPr>
          <w:p>
            <w:r>
              <w:rPr>
                <w:b w:val="0"/>
                <w:i w:val="0"/>
              </w:rPr>
              <w:t>40,6</w:t>
            </w:r>
          </w:p>
        </w:tc>
      </w:tr>
      <w:tr>
        <w:tc>
          <w:tcPr>
            <w:tcW w:type="dxa" w:w="3408"/>
          </w:tcPr>
          <w:p>
            <w:r>
              <w:rPr>
                <w:b w:val="0"/>
                <w:i w:val="0"/>
              </w:rPr>
              <w:t>32-48</w:t>
            </w:r>
          </w:p>
        </w:tc>
        <w:tc>
          <w:tcPr>
            <w:tcW w:type="dxa" w:w="3408"/>
          </w:tcPr>
          <w:p>
            <w:r>
              <w:rPr>
                <w:b w:val="0"/>
                <w:i w:val="0"/>
              </w:rPr>
              <w:t>Глюкоза (мкмоль/л)</w:t>
            </w:r>
          </w:p>
        </w:tc>
        <w:tc>
          <w:tcPr>
            <w:tcW w:type="dxa" w:w="3408"/>
          </w:tcPr>
          <w:p>
            <w:r>
              <w:rPr>
                <w:b w:val="0"/>
                <w:i w:val="0"/>
              </w:rPr>
              <w:t>5,1</w:t>
            </w:r>
          </w:p>
        </w:tc>
      </w:tr>
      <w:tr>
        <w:tc>
          <w:tcPr>
            <w:tcW w:type="dxa" w:w="3408"/>
          </w:tcPr>
          <w:p>
            <w:r>
              <w:rPr>
                <w:b w:val="0"/>
                <w:i w:val="0"/>
              </w:rPr>
              <w:t>4,1-5,9</w:t>
            </w:r>
          </w:p>
        </w:tc>
        <w:tc>
          <w:tcPr>
            <w:tcW w:type="dxa" w:w="3408"/>
          </w:tcPr>
          <w:p>
            <w:r>
              <w:rPr>
                <w:b w:val="0"/>
                <w:i w:val="0"/>
              </w:rPr>
              <w:t>Общ.билирубин (мкмоль/л)</w:t>
            </w:r>
          </w:p>
        </w:tc>
        <w:tc>
          <w:tcPr>
            <w:tcW w:type="dxa" w:w="3408"/>
          </w:tcPr>
          <w:p>
            <w:r>
              <w:rPr>
                <w:b w:val="0"/>
                <w:i w:val="0"/>
              </w:rPr>
              <w:t>9,5</w:t>
            </w:r>
          </w:p>
        </w:tc>
      </w:tr>
      <w:tr>
        <w:tc>
          <w:tcPr>
            <w:tcW w:type="dxa" w:w="3408"/>
          </w:tcPr>
          <w:p>
            <w:r>
              <w:rPr>
                <w:b w:val="0"/>
                <w:i w:val="0"/>
              </w:rPr>
              <w:t>3-21</w:t>
            </w:r>
          </w:p>
        </w:tc>
        <w:tc>
          <w:tcPr>
            <w:tcW w:type="dxa" w:w="3408"/>
          </w:tcPr>
          <w:p>
            <w:r>
              <w:rPr>
                <w:b w:val="0"/>
                <w:i w:val="0"/>
              </w:rPr>
              <w:t>Пр. билирубин  (мкмоль/л)</w:t>
            </w:r>
          </w:p>
        </w:tc>
        <w:tc>
          <w:tcPr>
            <w:tcW w:type="dxa" w:w="3408"/>
          </w:tcPr>
          <w:p>
            <w:r>
              <w:rPr>
                <w:b w:val="0"/>
                <w:i w:val="0"/>
              </w:rPr>
              <w:t>3,3</w:t>
            </w:r>
          </w:p>
        </w:tc>
      </w:tr>
      <w:tr>
        <w:tc>
          <w:tcPr>
            <w:tcW w:type="dxa" w:w="3408"/>
          </w:tcPr>
          <w:p>
            <w:r>
              <w:rPr>
                <w:b w:val="0"/>
                <w:i w:val="0"/>
              </w:rPr>
              <w:t>0-5</w:t>
            </w:r>
          </w:p>
        </w:tc>
        <w:tc>
          <w:tcPr>
            <w:tcW w:type="dxa" w:w="3408"/>
          </w:tcPr>
          <w:p>
            <w:r>
              <w:rPr>
                <w:b w:val="0"/>
                <w:i w:val="0"/>
              </w:rPr>
              <w:t>АСТ (ед/л)</w:t>
            </w:r>
          </w:p>
        </w:tc>
        <w:tc>
          <w:tcPr>
            <w:tcW w:type="dxa" w:w="3408"/>
          </w:tcPr>
          <w:p>
            <w:r>
              <w:rPr>
                <w:b w:val="0"/>
                <w:i w:val="0"/>
              </w:rPr>
              <w:t>19</w:t>
            </w:r>
          </w:p>
        </w:tc>
      </w:tr>
      <w:tr>
        <w:tc>
          <w:tcPr>
            <w:tcW w:type="dxa" w:w="3408"/>
          </w:tcPr>
          <w:p>
            <w:r>
              <w:rPr>
                <w:b w:val="0"/>
                <w:i w:val="0"/>
              </w:rPr>
              <w:t>0-34</w:t>
            </w:r>
          </w:p>
        </w:tc>
        <w:tc>
          <w:tcPr>
            <w:tcW w:type="dxa" w:w="3408"/>
          </w:tcPr>
          <w:p>
            <w:r>
              <w:rPr>
                <w:b w:val="0"/>
                <w:i w:val="0"/>
              </w:rPr>
              <w:t>АЛТ (ед/л)</w:t>
            </w:r>
          </w:p>
        </w:tc>
        <w:tc>
          <w:tcPr>
            <w:tcW w:type="dxa" w:w="3408"/>
          </w:tcPr>
          <w:p>
            <w:r>
              <w:rPr>
                <w:b w:val="0"/>
                <w:i w:val="0"/>
              </w:rPr>
              <w:t>20</w:t>
            </w:r>
          </w:p>
        </w:tc>
      </w:tr>
      <w:tr>
        <w:tc>
          <w:tcPr>
            <w:tcW w:type="dxa" w:w="3408"/>
          </w:tcPr>
          <w:p>
            <w:r>
              <w:rPr>
                <w:b w:val="0"/>
                <w:i w:val="0"/>
              </w:rPr>
              <w:t>5-49</w:t>
            </w:r>
          </w:p>
        </w:tc>
        <w:tc>
          <w:tcPr>
            <w:tcW w:type="dxa" w:w="3408"/>
          </w:tcPr>
          <w:p>
            <w:r>
              <w:rPr>
                <w:b w:val="0"/>
                <w:i w:val="0"/>
              </w:rPr>
              <w:t>ГГТ (ед/л)</w:t>
            </w:r>
          </w:p>
        </w:tc>
        <w:tc>
          <w:tcPr>
            <w:tcW w:type="dxa" w:w="3408"/>
          </w:tcPr>
          <w:p>
            <w:r>
              <w:rPr>
                <w:b w:val="0"/>
                <w:i w:val="0"/>
              </w:rPr>
              <w:t>19</w:t>
            </w:r>
          </w:p>
        </w:tc>
      </w:tr>
      <w:tr>
        <w:tc>
          <w:tcPr>
            <w:tcW w:type="dxa" w:w="3408"/>
          </w:tcPr>
          <w:p>
            <w:r>
              <w:rPr>
                <w:b w:val="0"/>
                <w:i w:val="0"/>
              </w:rPr>
              <w:t>0-73</w:t>
            </w:r>
          </w:p>
        </w:tc>
        <w:tc>
          <w:tcPr>
            <w:tcW w:type="dxa" w:w="3408"/>
          </w:tcPr>
          <w:p>
            <w:r>
              <w:rPr>
                <w:b w:val="0"/>
                <w:i w:val="0"/>
              </w:rPr>
              <w:t>Щелочная фосфатаза (ед/л)</w:t>
            </w:r>
          </w:p>
        </w:tc>
        <w:tc>
          <w:tcPr>
            <w:tcW w:type="dxa" w:w="3408"/>
          </w:tcPr>
          <w:p>
            <w:r>
              <w:rPr>
                <w:b w:val="0"/>
                <w:i w:val="0"/>
              </w:rPr>
              <w:t>194</w:t>
            </w:r>
          </w:p>
        </w:tc>
      </w:tr>
      <w:tr>
        <w:tc>
          <w:tcPr>
            <w:tcW w:type="dxa" w:w="3408"/>
          </w:tcPr>
          <w:p>
            <w:r>
              <w:rPr>
                <w:b w:val="0"/>
                <w:i w:val="0"/>
              </w:rPr>
              <w:t>70-360</w:t>
            </w:r>
          </w:p>
        </w:tc>
        <w:tc>
          <w:tcPr>
            <w:tcW w:type="dxa" w:w="3408"/>
          </w:tcPr>
          <w:p>
            <w:r>
              <w:rPr>
                <w:b w:val="0"/>
                <w:i w:val="0"/>
              </w:rPr>
              <w:t>Креатинин (мг/дл)</w:t>
            </w:r>
          </w:p>
        </w:tc>
        <w:tc>
          <w:tcPr>
            <w:tcW w:type="dxa" w:w="3408"/>
          </w:tcPr>
          <w:p>
            <w:r>
              <w:rPr>
                <w:b w:val="0"/>
                <w:i w:val="0"/>
              </w:rPr>
              <w:t>0,82</w:t>
            </w:r>
          </w:p>
        </w:tc>
      </w:tr>
      <w:tr>
        <w:tc>
          <w:tcPr>
            <w:tcW w:type="dxa" w:w="3408"/>
          </w:tcPr>
          <w:p>
            <w:r>
              <w:rPr>
                <w:b w:val="0"/>
                <w:i w:val="0"/>
              </w:rPr>
              <w:t>0,5-1,3</w:t>
            </w:r>
          </w:p>
        </w:tc>
        <w:tc>
          <w:tcPr>
            <w:tcW w:type="dxa" w:w="3408"/>
          </w:tcPr>
          <w:p>
            <w:r>
              <w:rPr>
                <w:b w:val="0"/>
                <w:i w:val="0"/>
              </w:rPr>
              <w:t>Мочевая кислота (мкмоль/л)</w:t>
            </w:r>
          </w:p>
        </w:tc>
        <w:tc>
          <w:tcPr>
            <w:tcW w:type="dxa" w:w="3408"/>
          </w:tcPr>
          <w:p>
            <w:r>
              <w:rPr>
                <w:b w:val="0"/>
                <w:i w:val="0"/>
              </w:rPr>
              <w:t>410</w:t>
            </w:r>
          </w:p>
        </w:tc>
      </w:tr>
      <w:tr>
        <w:tc>
          <w:tcPr>
            <w:tcW w:type="dxa" w:w="3408"/>
          </w:tcPr>
          <w:p>
            <w:r>
              <w:rPr>
                <w:b w:val="0"/>
                <w:i w:val="0"/>
              </w:rPr>
              <w:t>150-420</w:t>
            </w:r>
          </w:p>
        </w:tc>
        <w:tc>
          <w:tcPr>
            <w:tcW w:type="dxa" w:w="3408"/>
          </w:tcPr>
          <w:p>
            <w:r>
              <w:rPr>
                <w:b w:val="0"/>
                <w:i w:val="0"/>
              </w:rPr>
              <w:t>Азот мочевины (ммоль/л)</w:t>
            </w:r>
          </w:p>
        </w:tc>
        <w:tc>
          <w:tcPr>
            <w:tcW w:type="dxa" w:w="3408"/>
          </w:tcPr>
          <w:p>
            <w:r>
              <w:rPr>
                <w:b w:val="0"/>
                <w:i w:val="0"/>
              </w:rPr>
              <w:t>7,2</w:t>
            </w:r>
          </w:p>
        </w:tc>
      </w:tr>
      <w:tr>
        <w:tc>
          <w:tcPr>
            <w:tcW w:type="dxa" w:w="3408"/>
          </w:tcPr>
          <w:p>
            <w:r>
              <w:rPr>
                <w:b w:val="0"/>
                <w:i w:val="0"/>
              </w:rPr>
              <w:t>3,2-8,2</w:t>
            </w:r>
          </w:p>
        </w:tc>
        <w:tc>
          <w:tcPr>
            <w:tcW w:type="dxa" w:w="3408"/>
          </w:tcPr>
          <w:p>
            <w:r>
              <w:rPr>
                <w:b w:val="0"/>
                <w:i w:val="0"/>
              </w:rPr>
              <w:t>Натрий (ммоль/л)</w:t>
            </w:r>
          </w:p>
        </w:tc>
        <w:tc>
          <w:tcPr>
            <w:tcW w:type="dxa" w:w="3408"/>
          </w:tcPr>
          <w:p>
            <w:r>
              <w:rPr>
                <w:b w:val="0"/>
                <w:i w:val="0"/>
              </w:rPr>
              <w:t>150</w:t>
            </w:r>
          </w:p>
        </w:tc>
      </w:tr>
      <w:tr>
        <w:tc>
          <w:tcPr>
            <w:tcW w:type="dxa" w:w="3408"/>
          </w:tcPr>
          <w:p>
            <w:r>
              <w:rPr>
                <w:b w:val="0"/>
                <w:i w:val="0"/>
              </w:rPr>
              <w:t>132-150</w:t>
            </w:r>
          </w:p>
        </w:tc>
        <w:tc>
          <w:tcPr>
            <w:tcW w:type="dxa" w:w="3408"/>
          </w:tcPr>
          <w:p>
            <w:r>
              <w:rPr>
                <w:b w:val="0"/>
                <w:i w:val="0"/>
              </w:rPr>
              <w:t>Калий (ммоль/л)</w:t>
            </w:r>
          </w:p>
        </w:tc>
        <w:tc>
          <w:tcPr>
            <w:tcW w:type="dxa" w:w="3408"/>
          </w:tcPr>
          <w:p>
            <w:r>
              <w:rPr>
                <w:b w:val="0"/>
                <w:i w:val="0"/>
              </w:rPr>
              <w:t>5,4</w:t>
            </w:r>
          </w:p>
        </w:tc>
      </w:tr>
      <w:tr>
        <w:tc>
          <w:tcPr>
            <w:tcW w:type="dxa" w:w="3408"/>
          </w:tcPr>
          <w:p>
            <w:r>
              <w:rPr>
                <w:b w:val="0"/>
                <w:i w:val="0"/>
              </w:rPr>
              <w:t>3,5-5,5</w:t>
            </w:r>
          </w:p>
        </w:tc>
        <w:tc>
          <w:tcPr>
            <w:tcW w:type="dxa" w:w="3408"/>
          </w:tcPr>
          <w:p>
            <w:r>
              <w:rPr>
                <w:b w:val="0"/>
                <w:i w:val="0"/>
              </w:rPr>
              <w:t>Железо (ммоль/л)</w:t>
            </w:r>
          </w:p>
        </w:tc>
        <w:tc>
          <w:tcPr>
            <w:tcW w:type="dxa" w:w="3408"/>
          </w:tcPr>
          <w:p>
            <w:r>
              <w:rPr>
                <w:b w:val="0"/>
                <w:i w:val="0"/>
              </w:rPr>
              <w:t>8,2</w:t>
            </w:r>
          </w:p>
        </w:tc>
      </w:tr>
      <w:tr>
        <w:tc>
          <w:tcPr>
            <w:tcW w:type="dxa" w:w="3408"/>
          </w:tcPr>
          <w:p>
            <w:r>
              <w:rPr>
                <w:b w:val="0"/>
                <w:i w:val="0"/>
              </w:rPr>
              <w:t>9,0-30,4</w:t>
            </w:r>
          </w:p>
        </w:tc>
        <w:tc>
          <w:tcPr>
            <w:tcW w:type="dxa" w:w="3408"/>
          </w:tcPr>
          <w:p>
            <w:r>
              <w:rPr>
                <w:b w:val="0"/>
                <w:i w:val="0"/>
              </w:rPr>
              <w:t>Трансферрин (г/л)</w:t>
            </w:r>
          </w:p>
        </w:tc>
        <w:tc>
          <w:tcPr>
            <w:tcW w:type="dxa" w:w="3408"/>
          </w:tcPr>
          <w:p>
            <w:r>
              <w:rPr>
                <w:b w:val="0"/>
                <w:i w:val="0"/>
              </w:rPr>
              <w:t>2,16</w:t>
            </w:r>
          </w:p>
        </w:tc>
      </w:tr>
      <w:tr>
        <w:tc>
          <w:tcPr>
            <w:tcW w:type="dxa" w:w="3408"/>
          </w:tcPr>
          <w:p>
            <w:r>
              <w:rPr>
                <w:b w:val="0"/>
                <w:i w:val="0"/>
              </w:rPr>
              <w:t>2,0-3,6</w:t>
            </w:r>
          </w:p>
        </w:tc>
        <w:tc>
          <w:tcPr>
            <w:tcW w:type="dxa" w:w="3408"/>
          </w:tcPr>
          <w:p>
            <w:r>
              <w:rPr>
                <w:b w:val="0"/>
                <w:i w:val="0"/>
              </w:rPr>
              <w:t>% насыщения железом</w:t>
            </w:r>
          </w:p>
        </w:tc>
        <w:tc>
          <w:tcPr>
            <w:tcW w:type="dxa" w:w="3408"/>
          </w:tcPr>
          <w:p>
            <w:r>
              <w:rPr>
                <w:b w:val="0"/>
                <w:i w:val="0"/>
              </w:rPr>
              <w:t>20</w:t>
            </w:r>
          </w:p>
        </w:tc>
      </w:tr>
      <w:tr>
        <w:tc>
          <w:tcPr>
            <w:tcW w:type="dxa" w:w="3408"/>
          </w:tcPr>
          <w:p>
            <w:r>
              <w:rPr>
                <w:b w:val="0"/>
                <w:i w:val="0"/>
              </w:rPr>
              <w:t>20-55</w:t>
            </w:r>
          </w:p>
        </w:tc>
        <w:tc>
          <w:tcPr>
            <w:tcW w:type="dxa" w:w="3408"/>
          </w:tcPr>
          <w:p>
            <w:r>
              <w:rPr>
                <w:b w:val="0"/>
                <w:i w:val="0"/>
              </w:rPr>
              <w:t>Амилаза (ед/л)</w:t>
            </w:r>
          </w:p>
        </w:tc>
        <w:tc>
          <w:tcPr>
            <w:tcW w:type="dxa" w:w="3408"/>
          </w:tcPr>
          <w:p>
            <w:r>
              <w:rPr>
                <w:b w:val="0"/>
                <w:i w:val="0"/>
              </w:rPr>
              <w:t>41,2</w:t>
            </w:r>
          </w:p>
        </w:tc>
      </w:tr>
      <w:tr>
        <w:tc>
          <w:tcPr>
            <w:tcW w:type="dxa" w:w="3408"/>
          </w:tcPr>
          <w:p>
            <w:r>
              <w:rPr>
                <w:b w:val="0"/>
                <w:i w:val="0"/>
              </w:rPr>
              <w:t>30-118</w:t>
            </w:r>
          </w:p>
        </w:tc>
        <w:tc>
          <w:tcPr>
            <w:tcW w:type="dxa" w:w="3408"/>
          </w:tcPr>
          <w:p>
            <w:r>
              <w:rPr>
                <w:b w:val="0"/>
                <w:i w:val="0"/>
              </w:rPr>
              <w:t>Холестерин (ммоль/л)</w:t>
            </w:r>
          </w:p>
        </w:tc>
        <w:tc>
          <w:tcPr>
            <w:tcW w:type="dxa" w:w="3408"/>
          </w:tcPr>
          <w:p>
            <w:r>
              <w:rPr>
                <w:b w:val="0"/>
                <w:i w:val="0"/>
              </w:rPr>
              <w:t>5,02</w:t>
            </w:r>
          </w:p>
        </w:tc>
      </w:tr>
      <w:tr>
        <w:tc>
          <w:tcPr>
            <w:tcW w:type="dxa" w:w="3408"/>
          </w:tcPr>
          <w:p>
            <w:r>
              <w:rPr>
                <w:b w:val="0"/>
                <w:i w:val="0"/>
              </w:rPr>
              <w:t>3,2-5,6</w:t>
            </w:r>
          </w:p>
        </w:tc>
        <w:tc>
          <w:tcPr>
            <w:tcW w:type="dxa" w:w="3408"/>
          </w:tcPr>
          <w:p>
            <w:r>
              <w:rPr>
                <w:b w:val="0"/>
                <w:i w:val="0"/>
              </w:rPr>
              <w:t>===</w:t>
            </w:r>
          </w:p>
        </w:tc>
        <w:tc>
          <w:tcPr>
            <w:tcW w:type="dxa" w:w="3408"/>
          </w:tcPr>
          <w:p/>
        </w:tc>
      </w:tr>
    </w:tbl>
    <w:p/>
    <w:p>
      <w:pPr>
        <w:pStyle w:val="Heading3"/>
      </w:pPr>
      <w:r>
        <w:t>3.3. С-реактивный белок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3408"/>
        <w:gridCol w:w="3408"/>
        <w:gridCol w:w="3408"/>
      </w:tblGrid>
      <w:tr>
        <w:tc>
          <w:tcPr>
            <w:tcW w:type="dxa" w:w="3408"/>
          </w:tcPr>
          <w:p>
            <w:r>
              <w:rPr>
                <w:b/>
                <w:i w:val="0"/>
              </w:rPr>
              <w:t>===</w:t>
            </w:r>
          </w:p>
        </w:tc>
        <w:tc>
          <w:tcPr>
            <w:tcW w:type="dxa" w:w="3408"/>
          </w:tcPr>
          <w:p>
            <w:r>
              <w:rPr>
                <w:b/>
                <w:i w:val="0"/>
              </w:rPr>
              <w:t>Показатель</w:t>
            </w:r>
          </w:p>
        </w:tc>
        <w:tc>
          <w:tcPr>
            <w:tcW w:type="dxa" w:w="3408"/>
          </w:tcPr>
          <w:p>
            <w:r>
              <w:rPr>
                <w:b/>
                <w:i w:val="0"/>
              </w:rPr>
              <w:t>Результат</w:t>
            </w:r>
          </w:p>
        </w:tc>
      </w:tr>
      <w:tr>
        <w:tc>
          <w:tcPr>
            <w:tcW w:type="dxa" w:w="3408"/>
          </w:tcPr>
          <w:p>
            <w:r>
              <w:rPr>
                <w:b w:val="0"/>
                <w:i w:val="0"/>
              </w:rPr>
              <w:t>Норма</w:t>
            </w:r>
          </w:p>
        </w:tc>
        <w:tc>
          <w:tcPr>
            <w:tcW w:type="dxa" w:w="3408"/>
          </w:tcPr>
          <w:p>
            <w:r>
              <w:rPr>
                <w:b w:val="0"/>
                <w:i w:val="0"/>
              </w:rPr>
              <w:t>С-реактивный белок (мг/л)</w:t>
            </w:r>
          </w:p>
        </w:tc>
        <w:tc>
          <w:tcPr>
            <w:tcW w:type="dxa" w:w="3408"/>
          </w:tcPr>
          <w:p>
            <w:r>
              <w:rPr>
                <w:b w:val="0"/>
                <w:i w:val="0"/>
              </w:rPr>
              <w:t>14,7</w:t>
            </w:r>
          </w:p>
        </w:tc>
      </w:tr>
      <w:tr>
        <w:tc>
          <w:tcPr>
            <w:tcW w:type="dxa" w:w="3408"/>
          </w:tcPr>
          <w:p>
            <w:r>
              <w:rPr>
                <w:b w:val="0"/>
                <w:i w:val="0"/>
              </w:rPr>
              <w:t>0-5</w:t>
            </w:r>
          </w:p>
        </w:tc>
        <w:tc>
          <w:tcPr>
            <w:tcW w:type="dxa" w:w="3408"/>
          </w:tcPr>
          <w:p>
            <w:r>
              <w:rPr>
                <w:b w:val="0"/>
                <w:i w:val="0"/>
              </w:rPr>
              <w:t>===</w:t>
            </w:r>
          </w:p>
        </w:tc>
        <w:tc>
          <w:tcPr>
            <w:tcW w:type="dxa" w:w="3408"/>
          </w:tcPr>
          <w:p/>
        </w:tc>
      </w:tr>
    </w:tbl>
    <w:p/>
    <w:p>
      <w:pPr>
        <w:pStyle w:val="Heading3"/>
      </w:pPr>
      <w:r>
        <w:t>3.4. Анализ кала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5112"/>
        <w:gridCol w:w="5112"/>
      </w:tblGrid>
      <w:tr>
        <w:tc>
          <w:tcPr>
            <w:tcW w:type="dxa" w:w="5112"/>
          </w:tcPr>
          <w:p>
            <w:r>
              <w:rPr>
                <w:b/>
                <w:i w:val="0"/>
              </w:rPr>
              <w:t>===</w:t>
            </w:r>
          </w:p>
        </w:tc>
        <w:tc>
          <w:tcPr>
            <w:tcW w:type="dxa" w:w="5112"/>
          </w:tcPr>
          <w:p>
            <w:r>
              <w:rPr>
                <w:b/>
                <w:i w:val="0"/>
              </w:rPr>
              <w:t>Показатель</w:t>
            </w:r>
          </w:p>
        </w:tc>
      </w:tr>
      <w:tr>
        <w:tc>
          <w:tcPr>
            <w:tcW w:type="dxa" w:w="5112"/>
          </w:tcPr>
          <w:p>
            <w:r>
              <w:rPr>
                <w:b w:val="0"/>
                <w:i w:val="0"/>
              </w:rPr>
              <w:t>Результат</w:t>
            </w:r>
          </w:p>
        </w:tc>
        <w:tc>
          <w:tcPr>
            <w:tcW w:type="dxa" w:w="5112"/>
          </w:tcPr>
          <w:p>
            <w:r>
              <w:rPr>
                <w:b w:val="0"/>
                <w:i w:val="0"/>
              </w:rPr>
              <w:t>Цвет</w:t>
            </w:r>
          </w:p>
        </w:tc>
      </w:tr>
      <w:tr>
        <w:tc>
          <w:tcPr>
            <w:tcW w:type="dxa" w:w="5112"/>
          </w:tcPr>
          <w:p>
            <w:r>
              <w:rPr>
                <w:b w:val="0"/>
                <w:i w:val="0"/>
              </w:rPr>
              <w:t>коричневый</w:t>
            </w:r>
          </w:p>
        </w:tc>
        <w:tc>
          <w:tcPr>
            <w:tcW w:type="dxa" w:w="5112"/>
          </w:tcPr>
          <w:p>
            <w:r>
              <w:rPr>
                <w:b w:val="0"/>
                <w:i w:val="0"/>
              </w:rPr>
              <w:t>Форма</w:t>
            </w:r>
          </w:p>
        </w:tc>
      </w:tr>
      <w:tr>
        <w:tc>
          <w:tcPr>
            <w:tcW w:type="dxa" w:w="5112"/>
          </w:tcPr>
          <w:p>
            <w:r>
              <w:rPr>
                <w:b w:val="0"/>
                <w:i w:val="0"/>
              </w:rPr>
              <w:t>оформленный</w:t>
            </w:r>
          </w:p>
        </w:tc>
        <w:tc>
          <w:tcPr>
            <w:tcW w:type="dxa" w:w="5112"/>
          </w:tcPr>
          <w:p>
            <w:r>
              <w:rPr>
                <w:b w:val="0"/>
                <w:i w:val="0"/>
              </w:rPr>
              <w:t>Реакция на кровь</w:t>
            </w:r>
          </w:p>
        </w:tc>
      </w:tr>
      <w:tr>
        <w:tc>
          <w:tcPr>
            <w:tcW w:type="dxa" w:w="5112"/>
          </w:tcPr>
          <w:p>
            <w:r>
              <w:rPr>
                <w:b w:val="0"/>
                <w:i w:val="0"/>
              </w:rPr>
              <w:t>Положительная</w:t>
            </w:r>
          </w:p>
        </w:tc>
        <w:tc>
          <w:tcPr>
            <w:tcW w:type="dxa" w:w="5112"/>
          </w:tcPr>
          <w:p>
            <w:r>
              <w:rPr>
                <w:b w:val="0"/>
                <w:i w:val="0"/>
              </w:rPr>
              <w:t>Реакция на стеркобилин</w:t>
            </w:r>
          </w:p>
        </w:tc>
      </w:tr>
      <w:tr>
        <w:tc>
          <w:tcPr>
            <w:tcW w:type="dxa" w:w="5112"/>
          </w:tcPr>
          <w:p>
            <w:r>
              <w:rPr>
                <w:b w:val="0"/>
                <w:i w:val="0"/>
              </w:rPr>
              <w:t>Положительная</w:t>
            </w:r>
          </w:p>
        </w:tc>
        <w:tc>
          <w:tcPr>
            <w:tcW w:type="dxa" w:w="5112"/>
          </w:tcPr>
          <w:p>
            <w:r>
              <w:rPr>
                <w:b w:val="0"/>
                <w:i w:val="0"/>
              </w:rPr>
              <w:t>Слизь</w:t>
            </w:r>
          </w:p>
        </w:tc>
      </w:tr>
      <w:tr>
        <w:tc>
          <w:tcPr>
            <w:tcW w:type="dxa" w:w="5112"/>
          </w:tcPr>
          <w:p>
            <w:r>
              <w:rPr>
                <w:b w:val="0"/>
                <w:i w:val="0"/>
              </w:rPr>
              <w:t>нет</w:t>
            </w:r>
          </w:p>
        </w:tc>
        <w:tc>
          <w:tcPr>
            <w:tcW w:type="dxa" w:w="5112"/>
          </w:tcPr>
          <w:p>
            <w:r>
              <w:rPr>
                <w:b w:val="0"/>
                <w:i w:val="0"/>
              </w:rPr>
              <w:t>Микроскопия</w:t>
            </w:r>
          </w:p>
        </w:tc>
      </w:tr>
      <w:tr>
        <w:tc>
          <w:tcPr>
            <w:tcW w:type="dxa" w:w="5112"/>
          </w:tcPr>
          <w:p>
            <w:r>
              <w:rPr>
                <w:b w:val="0"/>
                <w:i w:val="0"/>
              </w:rPr>
              <w:t>Мышечные волосна сохранивш./потерявш. поперечн. полосат.</w:t>
            </w:r>
          </w:p>
        </w:tc>
        <w:tc>
          <w:tcPr>
            <w:tcW w:type="dxa" w:w="5112"/>
          </w:tcPr>
          <w:p>
            <w:r>
              <w:rPr>
                <w:b w:val="0"/>
                <w:i w:val="0"/>
              </w:rPr>
              <w:t>{plus} /{plus}</w:t>
            </w:r>
          </w:p>
        </w:tc>
      </w:tr>
      <w:tr>
        <w:tc>
          <w:tcPr>
            <w:tcW w:type="dxa" w:w="5112"/>
          </w:tcPr>
          <w:p>
            <w:r>
              <w:rPr>
                <w:b w:val="0"/>
                <w:i w:val="0"/>
              </w:rPr>
              <w:t>Соединительная ткань</w:t>
            </w:r>
          </w:p>
        </w:tc>
        <w:tc>
          <w:tcPr>
            <w:tcW w:type="dxa" w:w="5112"/>
          </w:tcPr>
          <w:p>
            <w:r>
              <w:rPr>
                <w:b w:val="0"/>
                <w:i w:val="0"/>
              </w:rPr>
              <w:t>-</w:t>
            </w:r>
          </w:p>
        </w:tc>
      </w:tr>
      <w:tr>
        <w:tc>
          <w:tcPr>
            <w:tcW w:type="dxa" w:w="5112"/>
          </w:tcPr>
          <w:p>
            <w:r>
              <w:rPr>
                <w:b w:val="0"/>
                <w:i w:val="0"/>
              </w:rPr>
              <w:t>Нейтральный жир</w:t>
            </w:r>
          </w:p>
        </w:tc>
        <w:tc>
          <w:tcPr>
            <w:tcW w:type="dxa" w:w="5112"/>
          </w:tcPr>
          <w:p>
            <w:r>
              <w:rPr>
                <w:b w:val="0"/>
                <w:i w:val="0"/>
              </w:rPr>
              <w:t>{plus} -</w:t>
            </w:r>
          </w:p>
        </w:tc>
      </w:tr>
      <w:tr>
        <w:tc>
          <w:tcPr>
            <w:tcW w:type="dxa" w:w="5112"/>
          </w:tcPr>
          <w:p>
            <w:r>
              <w:rPr>
                <w:b w:val="0"/>
                <w:i w:val="0"/>
              </w:rPr>
              <w:t>Жирные кислоты</w:t>
            </w:r>
          </w:p>
        </w:tc>
        <w:tc>
          <w:tcPr>
            <w:tcW w:type="dxa" w:w="5112"/>
          </w:tcPr>
          <w:p>
            <w:r>
              <w:rPr>
                <w:b w:val="0"/>
                <w:i w:val="0"/>
              </w:rPr>
              <w:t>-</w:t>
            </w:r>
          </w:p>
        </w:tc>
      </w:tr>
      <w:tr>
        <w:tc>
          <w:tcPr>
            <w:tcW w:type="dxa" w:w="5112"/>
          </w:tcPr>
          <w:p>
            <w:r>
              <w:rPr>
                <w:b w:val="0"/>
                <w:i w:val="0"/>
              </w:rPr>
              <w:t>Мыла</w:t>
            </w:r>
          </w:p>
        </w:tc>
        <w:tc>
          <w:tcPr>
            <w:tcW w:type="dxa" w:w="5112"/>
          </w:tcPr>
          <w:p>
            <w:r>
              <w:rPr>
                <w:b w:val="0"/>
                <w:i w:val="0"/>
              </w:rPr>
              <w:t>{plus}</w:t>
            </w:r>
          </w:p>
        </w:tc>
      </w:tr>
      <w:tr>
        <w:tc>
          <w:tcPr>
            <w:tcW w:type="dxa" w:w="5112"/>
          </w:tcPr>
          <w:p>
            <w:r>
              <w:rPr>
                <w:b w:val="0"/>
                <w:i w:val="0"/>
              </w:rPr>
              <w:t>Крахмал внутриклет.</w:t>
            </w:r>
          </w:p>
        </w:tc>
        <w:tc>
          <w:tcPr>
            <w:tcW w:type="dxa" w:w="5112"/>
          </w:tcPr>
          <w:p>
            <w:r>
              <w:rPr>
                <w:b w:val="0"/>
                <w:i w:val="0"/>
              </w:rPr>
              <w:t>{plus} -</w:t>
            </w:r>
          </w:p>
        </w:tc>
      </w:tr>
      <w:tr>
        <w:tc>
          <w:tcPr>
            <w:tcW w:type="dxa" w:w="5112"/>
          </w:tcPr>
          <w:p>
            <w:r>
              <w:rPr>
                <w:b w:val="0"/>
                <w:i w:val="0"/>
              </w:rPr>
              <w:t>Клетчатка переваримая/неперевар.</w:t>
            </w:r>
          </w:p>
        </w:tc>
        <w:tc>
          <w:tcPr>
            <w:tcW w:type="dxa" w:w="5112"/>
          </w:tcPr>
          <w:p>
            <w:r>
              <w:rPr>
                <w:b w:val="0"/>
                <w:i w:val="0"/>
              </w:rPr>
              <w:t>{plus} -/{plus}</w:t>
            </w:r>
          </w:p>
        </w:tc>
      </w:tr>
      <w:tr>
        <w:tc>
          <w:tcPr>
            <w:tcW w:type="dxa" w:w="5112"/>
          </w:tcPr>
          <w:p>
            <w:r>
              <w:rPr>
                <w:b w:val="0"/>
                <w:i w:val="0"/>
              </w:rPr>
              <w:t>Йодофильная флора N</w:t>
            </w:r>
          </w:p>
        </w:tc>
        <w:tc>
          <w:tcPr>
            <w:tcW w:type="dxa" w:w="5112"/>
          </w:tcPr>
          <w:p>
            <w:r>
              <w:rPr>
                <w:b w:val="0"/>
                <w:i w:val="0"/>
              </w:rPr>
              <w:t>{plus} -</w:t>
            </w:r>
          </w:p>
        </w:tc>
      </w:tr>
      <w:tr>
        <w:tc>
          <w:tcPr>
            <w:tcW w:type="dxa" w:w="5112"/>
          </w:tcPr>
          <w:p>
            <w:r>
              <w:rPr>
                <w:b w:val="0"/>
                <w:i w:val="0"/>
              </w:rPr>
              <w:t>Лейкоциты</w:t>
            </w:r>
          </w:p>
        </w:tc>
        <w:tc>
          <w:tcPr>
            <w:tcW w:type="dxa" w:w="5112"/>
          </w:tcPr>
          <w:p>
            <w:r>
              <w:rPr>
                <w:b w:val="0"/>
                <w:i w:val="0"/>
              </w:rPr>
              <w:t>-</w:t>
            </w:r>
          </w:p>
        </w:tc>
      </w:tr>
      <w:tr>
        <w:tc>
          <w:tcPr>
            <w:tcW w:type="dxa" w:w="5112"/>
          </w:tcPr>
          <w:p>
            <w:r>
              <w:rPr>
                <w:b w:val="0"/>
                <w:i w:val="0"/>
              </w:rPr>
              <w:t>Эритроциты</w:t>
            </w:r>
          </w:p>
        </w:tc>
        <w:tc>
          <w:tcPr>
            <w:tcW w:type="dxa" w:w="5112"/>
          </w:tcPr>
          <w:p>
            <w:r>
              <w:rPr>
                <w:b w:val="0"/>
                <w:i w:val="0"/>
              </w:rPr>
              <w:t>10-12 в п/зр</w:t>
            </w:r>
          </w:p>
        </w:tc>
      </w:tr>
      <w:tr>
        <w:tc>
          <w:tcPr>
            <w:tcW w:type="dxa" w:w="5112"/>
          </w:tcPr>
          <w:p>
            <w:r>
              <w:rPr>
                <w:b w:val="0"/>
                <w:i w:val="0"/>
              </w:rPr>
              <w:t>Яйца глист, простейшие, грибы</w:t>
            </w:r>
          </w:p>
        </w:tc>
        <w:tc>
          <w:tcPr>
            <w:tcW w:type="dxa" w:w="5112"/>
          </w:tcPr>
          <w:p>
            <w:r>
              <w:rPr>
                <w:b w:val="0"/>
                <w:i w:val="0"/>
              </w:rPr>
              <w:t>Не найдены</w:t>
            </w:r>
          </w:p>
        </w:tc>
      </w:tr>
    </w:tbl>
    <w:p/>
    <w:p>
      <w:pPr>
        <w:spacing w:after="58"/>
      </w:pPr>
      <w:r>
        <w:rPr>
          <w:b w:val="0"/>
          <w:i w:val="0"/>
        </w:rPr>
        <w:t>|===</w:t>
      </w:r>
    </w:p>
    <w:p>
      <w:pPr>
        <w:spacing w:after="58"/>
      </w:pPr>
      <w:r>
        <w:rPr>
          <w:b w:val="0"/>
          <w:i w:val="0"/>
        </w:rPr>
        <w:t>{nbsp}</w:t>
      </w:r>
    </w:p>
    <w:p>
      <w:pPr>
        <w:spacing w:after="58"/>
      </w:pPr>
      <w:r>
        <w:rPr>
          <w:b w:val="0"/>
          <w:i w:val="0"/>
        </w:rPr>
        <w:t>Токсины А, В Clostridium difficile -  *отрицательные*</w:t>
      </w:r>
    </w:p>
    <w:p>
      <w:pPr>
        <w:spacing w:after="58"/>
      </w:pPr>
      <w:r>
        <w:rPr>
          <w:b w:val="0"/>
          <w:i w:val="0"/>
        </w:rPr>
        <w:t>Кальпротектин  -  313 мкг/г  (норма &lt; 50)</w:t>
      </w:r>
    </w:p>
    <w:p>
      <w:pPr>
        <w:pStyle w:val="Heading3"/>
      </w:pPr>
      <w:r>
        <w:t>3.5. Оценка содержания гликозилированного гемоглобина в сыворотке крови</w:t>
      </w:r>
    </w:p>
    <w:p>
      <w:pPr>
        <w:spacing w:after="58"/>
      </w:pPr>
      <w:r>
        <w:rPr>
          <w:b w:val="0"/>
          <w:i w:val="0"/>
        </w:rPr>
        <w:t>4,8% (норма 4-6,2%)</w:t>
      </w:r>
    </w:p>
    <w:p>
      <w:pPr>
        <w:pStyle w:val="Heading3"/>
      </w:pPr>
      <w:r>
        <w:t>3.6. Оценка содержания липидов в сыворотке крови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3408"/>
        <w:gridCol w:w="3408"/>
        <w:gridCol w:w="3408"/>
      </w:tblGrid>
      <w:tr>
        <w:tc>
          <w:tcPr>
            <w:tcW w:type="dxa" w:w="3408"/>
          </w:tcPr>
          <w:p>
            <w:r>
              <w:rPr>
                <w:b/>
                <w:i w:val="0"/>
              </w:rPr>
              <w:t>===</w:t>
            </w:r>
          </w:p>
        </w:tc>
        <w:tc>
          <w:tcPr>
            <w:tcW w:type="dxa" w:w="3408"/>
          </w:tcPr>
          <w:p>
            <w:r>
              <w:rPr>
                <w:b/>
                <w:i w:val="0"/>
              </w:rPr>
              <w:t>Показатель</w:t>
            </w:r>
          </w:p>
        </w:tc>
        <w:tc>
          <w:tcPr>
            <w:tcW w:type="dxa" w:w="3408"/>
          </w:tcPr>
          <w:p>
            <w:r>
              <w:rPr>
                <w:b/>
                <w:i w:val="0"/>
              </w:rPr>
              <w:t>Результат</w:t>
            </w:r>
          </w:p>
        </w:tc>
      </w:tr>
      <w:tr>
        <w:tc>
          <w:tcPr>
            <w:tcW w:type="dxa" w:w="3408"/>
          </w:tcPr>
          <w:p>
            <w:r>
              <w:rPr>
                <w:b w:val="0"/>
                <w:i w:val="0"/>
              </w:rPr>
              <w:t>Норма</w:t>
            </w:r>
          </w:p>
        </w:tc>
        <w:tc>
          <w:tcPr>
            <w:tcW w:type="dxa" w:w="3408"/>
          </w:tcPr>
          <w:p>
            <w:r>
              <w:rPr>
                <w:b w:val="0"/>
                <w:i w:val="0"/>
              </w:rPr>
              <w:t>Триглицериды (ммоль/л)</w:t>
            </w:r>
          </w:p>
        </w:tc>
        <w:tc>
          <w:tcPr>
            <w:tcW w:type="dxa" w:w="3408"/>
          </w:tcPr>
          <w:p>
            <w:r>
              <w:rPr>
                <w:b w:val="0"/>
                <w:i w:val="0"/>
              </w:rPr>
              <w:t>1,05</w:t>
            </w:r>
          </w:p>
        </w:tc>
      </w:tr>
      <w:tr>
        <w:tc>
          <w:tcPr>
            <w:tcW w:type="dxa" w:w="3408"/>
          </w:tcPr>
          <w:p>
            <w:r>
              <w:rPr>
                <w:b w:val="0"/>
                <w:i w:val="0"/>
              </w:rPr>
              <w:t>0,41-1,7</w:t>
            </w:r>
          </w:p>
        </w:tc>
        <w:tc>
          <w:tcPr>
            <w:tcW w:type="dxa" w:w="3408"/>
          </w:tcPr>
          <w:p>
            <w:r>
              <w:rPr>
                <w:b w:val="0"/>
                <w:i w:val="0"/>
              </w:rPr>
              <w:t>Липопротеиды высокой плотности (ммоль/л)</w:t>
            </w:r>
          </w:p>
        </w:tc>
        <w:tc>
          <w:tcPr>
            <w:tcW w:type="dxa" w:w="3408"/>
          </w:tcPr>
          <w:p>
            <w:r>
              <w:rPr>
                <w:b w:val="0"/>
                <w:i w:val="0"/>
              </w:rPr>
              <w:t>1,54</w:t>
            </w:r>
          </w:p>
        </w:tc>
      </w:tr>
      <w:tr>
        <w:tc>
          <w:tcPr>
            <w:tcW w:type="dxa" w:w="3408"/>
          </w:tcPr>
          <w:p>
            <w:r>
              <w:rPr>
                <w:b w:val="0"/>
                <w:i w:val="0"/>
              </w:rPr>
              <w:t>&gt;1,56</w:t>
            </w:r>
          </w:p>
        </w:tc>
        <w:tc>
          <w:tcPr>
            <w:tcW w:type="dxa" w:w="3408"/>
          </w:tcPr>
          <w:p>
            <w:r>
              <w:rPr>
                <w:b w:val="0"/>
                <w:i w:val="0"/>
              </w:rPr>
              <w:t>Липопротеиды очень низкой плотности (ммоль/л)</w:t>
            </w:r>
          </w:p>
        </w:tc>
        <w:tc>
          <w:tcPr>
            <w:tcW w:type="dxa" w:w="3408"/>
          </w:tcPr>
          <w:p>
            <w:r>
              <w:rPr>
                <w:b w:val="0"/>
                <w:i w:val="0"/>
              </w:rPr>
              <w:t>0,48</w:t>
            </w:r>
          </w:p>
        </w:tc>
      </w:tr>
      <w:tr>
        <w:tc>
          <w:tcPr>
            <w:tcW w:type="dxa" w:w="3408"/>
          </w:tcPr>
          <w:p>
            <w:r>
              <w:rPr>
                <w:b w:val="0"/>
                <w:i w:val="0"/>
              </w:rPr>
              <w:t>0,19-0,77</w:t>
            </w:r>
          </w:p>
        </w:tc>
        <w:tc>
          <w:tcPr>
            <w:tcW w:type="dxa" w:w="3408"/>
          </w:tcPr>
          <w:p>
            <w:r>
              <w:rPr>
                <w:b w:val="0"/>
                <w:i w:val="0"/>
              </w:rPr>
              <w:t>Липопротеиды низкой плотности (ммоль/л)</w:t>
            </w:r>
          </w:p>
        </w:tc>
        <w:tc>
          <w:tcPr>
            <w:tcW w:type="dxa" w:w="3408"/>
          </w:tcPr>
          <w:p>
            <w:r>
              <w:rPr>
                <w:b w:val="0"/>
                <w:i w:val="0"/>
              </w:rPr>
              <w:t>3</w:t>
            </w:r>
          </w:p>
        </w:tc>
      </w:tr>
      <w:tr>
        <w:tc>
          <w:tcPr>
            <w:tcW w:type="dxa" w:w="3408"/>
          </w:tcPr>
          <w:p>
            <w:r>
              <w:rPr>
                <w:b w:val="0"/>
                <w:i w:val="0"/>
              </w:rPr>
              <w:t>&lt;4,2</w:t>
            </w:r>
          </w:p>
        </w:tc>
        <w:tc>
          <w:tcPr>
            <w:tcW w:type="dxa" w:w="3408"/>
          </w:tcPr>
          <w:p>
            <w:r>
              <w:rPr>
                <w:b w:val="0"/>
                <w:i w:val="0"/>
              </w:rPr>
              <w:t>===</w:t>
            </w:r>
          </w:p>
        </w:tc>
        <w:tc>
          <w:tcPr>
            <w:tcW w:type="dxa" w:w="3408"/>
          </w:tcPr>
          <w:p/>
        </w:tc>
      </w:tr>
    </w:tbl>
    <w:p/>
    <w:p>
      <w:r>
        <w:rPr>
          <w:b/>
          <w:color w:val="0F766E"/>
        </w:rPr>
        <w:t>2. Вопрос</w:t>
      </w:r>
    </w:p>
    <w:p>
      <w:r>
        <w:rPr>
          <w:b w:val="0"/>
          <w:i w:val="0"/>
        </w:rPr>
        <w:t>К основным инструментальным методам обследования для постановки диагноза относятся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тотальная колоноскопия с илеоскопией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электрокардиография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трансторакальное эхокардиографическое исследование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ультразвуковое исследование щитовидной железы</w:t>
      </w:r>
    </w:p>
    <w:p>
      <w:pPr>
        <w:pStyle w:val="ListBullet"/>
      </w:pPr>
      <w:r>
        <w:rPr>
          <w:b/>
        </w:rPr>
        <w:t xml:space="preserve">5. </w:t>
      </w:r>
      <w:r>
        <w:rPr>
          <w:b/>
          <w:i w:val="0"/>
          <w:color w:val="0F766E"/>
          <w:highlight w:val="yellow"/>
        </w:rPr>
        <w:t>фиброгастродуоденоскопия</w:t>
      </w:r>
    </w:p>
    <w:p>
      <w:pPr>
        <w:pStyle w:val="ListBullet"/>
      </w:pPr>
      <w:r>
        <w:rPr>
          <w:b/>
        </w:rPr>
        <w:t xml:space="preserve">6. </w:t>
      </w:r>
      <w:r>
        <w:rPr>
          <w:b w:val="0"/>
          <w:i w:val="0"/>
        </w:rPr>
        <w:t>рентгенография органов грудной клетки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Правильные ответы: </w:t>
      </w:r>
      <w:r>
        <w:rPr>
          <w:b/>
          <w:i w:val="0"/>
        </w:rPr>
        <w:t>тотальная колоноскопия с илеоскопией; фиброгастродуоденоскопия</w:t>
      </w:r>
    </w:p>
    <w:p>
      <w:pPr>
        <w:ind w:left="504"/>
      </w:pPr>
      <w:r>
        <w:rPr>
          <w:b w:val="0"/>
          <w:i/>
        </w:rPr>
        <w:t>При колоноскопии можно обнаружить регионарное (прерывистое) поражение слизистой оболочки, симптом «булыжной мостовой» (сочетание глубоких продольно ориентированных язв и поперечно направленных язв c островками отечной гиперемированной слизистой оболочкой), линейные язвы (язвы-трещины), афты, а в некоторых случаях - стриктуры и устья свищей.</w:t>
        <w:br/>
        <w:br/>
        <w:t>Клинические рекомендации Российской Гастроэнтерологической Ассоциации и Ассоциации колопроктологов России Болезнь Крона, 2020 год, разделы «Диагностика», «Инструментальные диагностические исследования»</w:t>
        <w:br/>
        <w:br/>
      </w:r>
      <w:hyperlink r:id="rId9">
        <w:r>
          <w:rPr>
            <w:color w:val="0F766E"/>
            <w:u w:val="single"/>
          </w:rPr>
          <w:t>Клинические рекомендации Министерства здравоохранения Российской Федерации. Болезнь Крона. 2020 г.</w:t>
        </w:r>
      </w:hyperlink>
      <w:r>
        <w:rPr>
          <w:b w:val="0"/>
          <w:i/>
        </w:rPr>
        <w:br/>
        <w:br/>
      </w:r>
      <w:hyperlink r:id="rId16">
        <w:r>
          <w:rPr>
            <w:color w:val="0F766E"/>
            <w:u w:val="single"/>
          </w:rPr>
          <w:t>(1)</w:t>
        </w:r>
      </w:hyperlink>
      <w:r>
        <w:rPr>
          <w:b w:val="0"/>
          <w:i/>
        </w:rPr>
        <w:br/>
        <w:br/>
      </w:r>
      <w:hyperlink r:id="rId17">
        <w:r>
          <w:rPr>
            <w:color w:val="0F766E"/>
            <w:u w:val="single"/>
          </w:rPr>
          <w:t>(2)</w:t>
        </w:r>
      </w:hyperlink>
      <w:r>
        <w:rPr>
          <w:b w:val="0"/>
          <w:i/>
        </w:rPr>
        <w:br/>
        <w:br/>
      </w:r>
      <w:hyperlink r:id="rId18">
        <w:r>
          <w:rPr>
            <w:color w:val="0F766E"/>
            <w:u w:val="single"/>
          </w:rPr>
          <w:t>(3)</w:t>
        </w:r>
      </w:hyperlink>
      <w:r>
        <w:rPr>
          <w:b w:val="0"/>
          <w:i/>
        </w:rPr>
        <w:br/>
        <w:br/>
      </w:r>
      <w:hyperlink r:id="rId19">
        <w:r>
          <w:rPr>
            <w:color w:val="0F766E"/>
            <w:u w:val="single"/>
          </w:rPr>
          <w:t>(4)</w:t>
        </w:r>
      </w:hyperlink>
      <w:r>
        <w:rPr>
          <w:b w:val="0"/>
          <w:i/>
        </w:rPr>
        <w:br/>
        <w:br/>
      </w:r>
      <w:hyperlink r:id="rId20">
        <w:r>
          <w:rPr>
            <w:color w:val="0F766E"/>
            <w:u w:val="single"/>
          </w:rPr>
          <w:t>(5)</w:t>
        </w:r>
      </w:hyperlink>
    </w:p>
    <w:p>
      <w:pPr>
        <w:ind w:left="504"/>
      </w:pPr>
      <w:r>
        <w:rPr>
          <w:b w:val="0"/>
          <w:i/>
        </w:rPr>
        <w:t>Эзофагогастродуоденоскопия позволяет обнаружить эрозивно-язвенные поражения слизистой оболочки желудка и двенадцатиперстной кишки с последующим взятием биопсии.</w:t>
        <w:br/>
        <w:br/>
        <w:t>Клинические рекомендации Российской Гастроэнтерологической Ассоциации и Ассоциации колопроктологов России Болезнь Крона, 2020 год, раздел «Инструментальные диагностические исследования»</w:t>
        <w:br/>
        <w:br/>
      </w:r>
      <w:hyperlink r:id="rId9">
        <w:r>
          <w:rPr>
            <w:color w:val="0F766E"/>
            <w:u w:val="single"/>
          </w:rPr>
          <w:t>Клинические рекомендации Министерства здравоохранения Российской Федерации. Болезнь Крона. 2020 г.</w:t>
        </w:r>
      </w:hyperlink>
      <w:r>
        <w:rPr>
          <w:b w:val="0"/>
          <w:i/>
        </w:rPr>
        <w:br/>
        <w:br/>
      </w:r>
      <w:hyperlink r:id="rId21">
        <w:r>
          <w:rPr>
            <w:color w:val="0F766E"/>
            <w:u w:val="single"/>
          </w:rPr>
          <w:t>(1)</w:t>
        </w:r>
      </w:hyperlink>
    </w:p>
    <w:p>
      <w:pPr>
        <w:pStyle w:val="Heading2"/>
      </w:pPr>
      <w:r>
        <w:t>5. Результаты инструментальных методов обследования</w:t>
      </w:r>
    </w:p>
    <w:p>
      <w:pPr>
        <w:pStyle w:val="Heading3"/>
      </w:pPr>
      <w:r>
        <w:t>5.1. Фиброгастродуоденоскопия</w:t>
      </w:r>
    </w:p>
    <w:p>
      <w:pPr>
        <w:spacing w:after="58"/>
      </w:pPr>
      <w:r>
        <w:rPr>
          <w:b w:val="0"/>
          <w:i w:val="0"/>
        </w:rPr>
        <w:t>*Заключение:* недостаточность кардии, катаральный рефлюкс - эзофагит, антральный гастрит с очаговой атрофией, бульбит, дуоденогастральный рефлюкс.</w:t>
      </w:r>
    </w:p>
    <w:p>
      <w:pPr>
        <w:pStyle w:val="Heading3"/>
      </w:pPr>
      <w:r>
        <w:t>5.2. Тотальная колоноскопия с илеоскопией</w:t>
      </w:r>
    </w:p>
    <w:p>
      <w:pPr>
        <w:spacing w:after="58"/>
      </w:pPr>
      <w:r>
        <w:rPr>
          <w:b w:val="0"/>
          <w:i w:val="0"/>
        </w:rPr>
        <w:t>При колоноскопии обращает на себя внимание прерывистый характер поражения, обнаружены язвенные дефекты в толстой и подвздошной кишке, контактная ранимость слизистой оболочки, язвенные дефекты (до 0,5*2,0см) и эрозии в прямой кишке. На уровне зубчатой линии определяется стриктура анального канала до 13 мм. Также по передней стенке определяется свищевое отверстие до 6 х 8 мм.</w:t>
      </w:r>
    </w:p>
    <w:p>
      <w:pPr>
        <w:spacing w:after="58"/>
      </w:pPr>
      <w:r>
        <w:rPr>
          <w:b w:val="0"/>
          <w:i w:val="0"/>
        </w:rPr>
        <w:t>При морфологическом исследовании глубокое поражение стенки кишки с выявлением гранулем, лимфоплазмоцитарная инфильтрация слизистой оболочки толстой кишки. В основании одного из фрагментов обнаруживаются отдельные деформированные крипты с высоким содержанием бокаловидных клеток.</w:t>
      </w:r>
    </w:p>
    <w:p>
      <w:pPr>
        <w:pStyle w:val="Heading2"/>
      </w:pPr>
      <w:r>
        <w:t>2. Диагноз</w:t>
      </w:r>
    </w:p>
    <w:p>
      <w:r>
        <w:rPr>
          <w:b/>
          <w:color w:val="0F766E"/>
        </w:rPr>
        <w:t>3. Вопрос</w:t>
      </w:r>
    </w:p>
    <w:p>
      <w:r>
        <w:rPr>
          <w:b w:val="0"/>
          <w:i w:val="0"/>
        </w:rPr>
        <w:t>Данному пациенту на основании физикального и дополнительного обследования можно поставить диагноз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Cиндром  раздражённого кишечника, вариант с преобладанием диареи. Дискинезия  желчного пузыря и жёлчевыводящих путей с формированием сладж-синдрома. Железодефицитная анемия лёгкого течения. Астеновегетативный синдром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Язвенный колит, очень тяжелое обострение, тотальная форма, хроническое непрерывное течение. Синдром системного воспалительного ответа, лекарственная непереносимость адалимумаба  (антитела к адалимумабу).</w:t>
        <w:br/>
        <w:t>Clostridium difficile-ассоциированная  болезнь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Болезнь Крона с поражением тонкой и толстой кишки, хроническое течение, воспалительная, стенозирующая (стриктура анального канала), свищевая (ректовагинальный свищ) форма, тяжёлая степень (индекс Беста 486 баллов)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Язвенный колит, очень тяжелое обострение, тотальная форма, хроническое непрерывное течение,  активность по Truelove III.  Стриктура анального канала, ректовагинальный свищ.  Хроническая гипохромная микроцитарная железодефицитная анемия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Болезнь Крона с поражением тонкой и толстой кишки, хроническое течение, воспалительная, стенозирующая (стриктура анального канала), свищевая (ректовагинальный свищ) форма, тяжёлая степень (индекс Беста 486 баллов)</w:t>
      </w:r>
    </w:p>
    <w:p>
      <w:pPr>
        <w:ind w:left="504"/>
      </w:pPr>
      <w:r>
        <w:rPr>
          <w:b w:val="0"/>
          <w:i/>
        </w:rPr>
        <w:t>Диагноз болезни Крона верифицирован на основании эндоскопических и морфологических данных:</w:t>
        <w:br/>
        <w:br/>
        <w:t xml:space="preserve"> — поражение отделов тонкой и толстой кишки</w:t>
        <w:br/>
        <w:br/>
        <w:t xml:space="preserve"> — хроническое перианальное поражение</w:t>
        <w:br/>
        <w:br/>
        <w:t xml:space="preserve"> — прерывистый характер поражения</w:t>
        <w:br/>
        <w:br/>
        <w:t xml:space="preserve"> — трансмуральный характер поражения: язвы, свищи</w:t>
        <w:br/>
        <w:br/>
        <w:t xml:space="preserve"> — фиброз: стриктуры</w:t>
        <w:br/>
        <w:br/>
        <w:t xml:space="preserve"> — лимфоидная ткань (гистология): трансмуральные лимфоидные скопления</w:t>
        <w:br/>
        <w:br/>
        <w:t xml:space="preserve"> — наличие саркоидной гранулемы</w:t>
        <w:br/>
        <w:br/>
        <w:t>Диагноз БК считается достоверным при наличии 3 любых признаков или при обнаружении гранулемы в сочетании с любым другим признаком.</w:t>
        <w:br/>
        <w:br/>
        <w:t>Клинические рекомендации Российской Гастроэнтерологической Ассоциации и Ассоциации колопроктологов России Болезнь Крона, 2020 год, разделы «Диагностика», «Классификация заболевания или состояния»</w:t>
        <w:br/>
        <w:br/>
      </w:r>
      <w:hyperlink r:id="rId9">
        <w:r>
          <w:rPr>
            <w:color w:val="0F766E"/>
            <w:u w:val="single"/>
          </w:rPr>
          <w:t>Клинические рекомендации Министерства здравоохранения Российской Федерации. Болезнь Крона. 2020 г.</w:t>
        </w:r>
      </w:hyperlink>
      <w:r>
        <w:rPr>
          <w:b w:val="0"/>
          <w:i/>
        </w:rPr>
        <w:br/>
        <w:br/>
      </w:r>
      <w:hyperlink r:id="rId22">
        <w:r>
          <w:rPr>
            <w:color w:val="0F766E"/>
            <w:u w:val="single"/>
          </w:rPr>
          <w:t>(1)</w:t>
        </w:r>
      </w:hyperlink>
      <w:r>
        <w:rPr>
          <w:b w:val="0"/>
          <w:i/>
        </w:rPr>
        <w:br/>
        <w:br/>
      </w:r>
      <w:hyperlink r:id="rId23">
        <w:r>
          <w:rPr>
            <w:color w:val="0F766E"/>
            <w:u w:val="single"/>
          </w:rPr>
          <w:t>(2)</w:t>
        </w:r>
      </w:hyperlink>
      <w:r>
        <w:rPr>
          <w:b w:val="0"/>
          <w:i/>
        </w:rPr>
        <w:br/>
        <w:br/>
      </w:r>
      <w:hyperlink r:id="rId24">
        <w:r>
          <w:rPr>
            <w:color w:val="0F766E"/>
            <w:u w:val="single"/>
          </w:rPr>
          <w:t>(3)</w:t>
        </w:r>
      </w:hyperlink>
      <w:r>
        <w:rPr>
          <w:b w:val="0"/>
          <w:i/>
        </w:rPr>
        <w:br/>
        <w:br/>
        <w:t>Клинические рекомендации Российской Гастроэнтерологической Ассоциации и Ассоциации колопроктологов России Болезнь Крона у взрослых, 2016 год, раздел «Приложение Г2. Тяжесть атаки БК по индексу активности БК (CDAI; индекс Беста)»</w:t>
        <w:br/>
        <w:br/>
      </w:r>
      <w:hyperlink r:id="rId25">
        <w:r>
          <w:rPr>
            <w:color w:val="0F766E"/>
            <w:u w:val="single"/>
          </w:rPr>
          <w:t>Клинические рекомендации Министерства здравоохранения Российской Федерации. Болезнь Крона у взрослых. 2016 г.</w:t>
        </w:r>
      </w:hyperlink>
      <w:r>
        <w:rPr>
          <w:b w:val="0"/>
          <w:i/>
        </w:rPr>
        <w:br/>
        <w:br/>
      </w:r>
      <w:hyperlink r:id="rId26">
        <w:r>
          <w:rPr>
            <w:color w:val="0F766E"/>
            <w:u w:val="single"/>
          </w:rPr>
          <w:t>(1)</w:t>
        </w:r>
      </w:hyperlink>
    </w:p>
    <w:p>
      <w:pPr>
        <w:pStyle w:val="Heading2"/>
      </w:pPr>
      <w:r>
        <w:t>7. Диагноз</w:t>
      </w:r>
    </w:p>
    <w:p>
      <w:pPr>
        <w:spacing w:after="58"/>
      </w:pPr>
      <w:r>
        <w:rPr>
          <w:b w:val="0"/>
          <w:i w:val="0"/>
        </w:rPr>
        <w:t>Болезнь Крона с поражением тонкой и толстой кишки, хроническое течение, воспалительная, стенозирующая (стриктура анального канала), свищевая (ректовагинальный свищ) форма, тяжёлая степень (индекс Беста 486 баллов)</w:t>
      </w:r>
    </w:p>
    <w:p>
      <w:r>
        <w:rPr>
          <w:b/>
          <w:color w:val="0F766E"/>
        </w:rPr>
        <w:t>4. Вопрос</w:t>
      </w:r>
    </w:p>
    <w:p>
      <w:r>
        <w:rPr>
          <w:b w:val="0"/>
          <w:i w:val="0"/>
        </w:rPr>
        <w:t>Для верификации диагноза необходимо определить тяжесть обострения  заболевания  по индексу активности (индекс Беста).  В индексе  Беста учитываются такие критерии как  +________________+ наличие внекишечных и кишечных осложнений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частота жидкого стула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степень увеличения щитовидной железы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уровень липидов в крови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уровень гликозилированного гемоглобина в крови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частота жидкого стула</w:t>
      </w:r>
    </w:p>
    <w:p>
      <w:pPr>
        <w:ind w:left="504"/>
      </w:pPr>
      <w:r>
        <w:rPr>
          <w:b w:val="0"/>
          <w:i/>
        </w:rPr>
        <w:t>Для расчёта тяжести атаки болезни Крона по индексу активности (индексу Беста) учитывается сумма дефекаций за последние 7 дней умноженная на коэффициент равный  2</w:t>
        <w:br/>
        <w:br/>
        <w:t>Клинические рекомендации Российской Гастроэнтерологической Ассоциации и Ассоциации колопроктологов России Болезнь Крона, 2020 год, раздел «Классификация заболевания или состояния»</w:t>
        <w:br/>
        <w:br/>
      </w:r>
      <w:hyperlink r:id="rId9">
        <w:r>
          <w:rPr>
            <w:color w:val="0F766E"/>
            <w:u w:val="single"/>
          </w:rPr>
          <w:t>Клинические рекомендации Министерства здравоохранения Российской Федерации. Болезнь Крона. 2020 г.</w:t>
        </w:r>
      </w:hyperlink>
      <w:r>
        <w:rPr>
          <w:b w:val="0"/>
          <w:i/>
        </w:rPr>
        <w:br/>
        <w:br/>
      </w:r>
      <w:hyperlink r:id="rId24">
        <w:r>
          <w:rPr>
            <w:color w:val="0F766E"/>
            <w:u w:val="single"/>
          </w:rPr>
          <w:t>(1)</w:t>
        </w:r>
      </w:hyperlink>
      <w:r>
        <w:rPr>
          <w:b w:val="0"/>
          <w:i/>
        </w:rPr>
        <w:br/>
        <w:br/>
        <w:t>Клинические рекомендации Российской Гастроэнтерологической Ассоциации и Ассоциации колопроктологов России Болезнь Крона у взрослых, 2016 год, раздел «Приложение Г2. Тяжесть атаки БК по индексу активности БК (CDAI; индекс Беста)»</w:t>
        <w:br/>
        <w:br/>
      </w:r>
      <w:hyperlink r:id="rId25">
        <w:r>
          <w:rPr>
            <w:color w:val="0F766E"/>
            <w:u w:val="single"/>
          </w:rPr>
          <w:t>Клинические рекомендации Министерства здравоохранения Российской Федерации. Болезнь Крона у взрослых. 2016 г.</w:t>
        </w:r>
      </w:hyperlink>
      <w:r>
        <w:rPr>
          <w:b w:val="0"/>
          <w:i/>
        </w:rPr>
        <w:br/>
        <w:br/>
      </w:r>
      <w:hyperlink r:id="rId26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5. Вопрос</w:t>
      </w:r>
    </w:p>
    <w:p>
      <w:r>
        <w:rPr>
          <w:b w:val="0"/>
          <w:i w:val="0"/>
        </w:rPr>
        <w:t>Для верификации диагноза необходимо определить тяжесть обострения заболевания  по индексу активности (индекс Беста).  Для индекса Беста используются такие критерии как жалобы на +__________+, повышение температуры, напряжение и болезненность при пальпации живота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повышение артериального давления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одышку при физических нагрузках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головную боль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боль в животе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боль в животе</w:t>
      </w:r>
    </w:p>
    <w:p>
      <w:pPr>
        <w:ind w:left="504"/>
      </w:pPr>
      <w:r>
        <w:rPr>
          <w:b w:val="0"/>
          <w:i/>
        </w:rPr>
        <w:t>Для расчёта тяжести атаки болезни Крона по индексу активности (индексу Беста) учитывается наличие боли в животе ( 0 – отсутствие, 1 – слабая, 2 – умеренная, 3 – сильная) за последние 7 дней умноженная на коэффициент равный 5</w:t>
        <w:br/>
        <w:br/>
        <w:t>Клинические рекомендации Российской Гастроэнтерологической Ассоциации и Ассоциации колопроктологов России Болезнь Крона, 2020 год, раздел «Классификация заболевания или состояния»</w:t>
        <w:br/>
        <w:br/>
      </w:r>
      <w:hyperlink r:id="rId9">
        <w:r>
          <w:rPr>
            <w:color w:val="0F766E"/>
            <w:u w:val="single"/>
          </w:rPr>
          <w:t>Клинические рекомендации Министерства здравоохранения Российской Федерации. Болезнь Крона. 2020 г.</w:t>
        </w:r>
      </w:hyperlink>
      <w:r>
        <w:rPr>
          <w:b w:val="0"/>
          <w:i/>
        </w:rPr>
        <w:br/>
        <w:br/>
      </w:r>
      <w:hyperlink r:id="rId24">
        <w:r>
          <w:rPr>
            <w:color w:val="0F766E"/>
            <w:u w:val="single"/>
          </w:rPr>
          <w:t>(1)</w:t>
        </w:r>
      </w:hyperlink>
      <w:r>
        <w:rPr>
          <w:b w:val="0"/>
          <w:i/>
        </w:rPr>
        <w:br/>
        <w:br/>
        <w:t>Клинические рекомендации Российской Гастроэнтерологической Ассоциации и Ассоциации колопроктологов России Болезнь Крона у взрослых, 2016 год, раздел «Приложение Г2. Тяжесть атаки БК по индексу активности БК (CDAI; индекс Беста)»</w:t>
        <w:br/>
        <w:br/>
      </w:r>
      <w:hyperlink r:id="rId25">
        <w:r>
          <w:rPr>
            <w:color w:val="0F766E"/>
            <w:u w:val="single"/>
          </w:rPr>
          <w:t>Клинические рекомендации Министерства здравоохранения Российской Федерации. Болезнь Крона у взрослых. 2016 г.</w:t>
        </w:r>
      </w:hyperlink>
      <w:r>
        <w:rPr>
          <w:b w:val="0"/>
          <w:i/>
        </w:rPr>
        <w:br/>
        <w:br/>
      </w:r>
      <w:hyperlink r:id="rId26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6. Вопрос</w:t>
      </w:r>
    </w:p>
    <w:p>
      <w:r>
        <w:rPr>
          <w:b w:val="0"/>
          <w:i w:val="0"/>
        </w:rPr>
        <w:t>К типичным осложнениям заболевания относят: наружные и внутренние свищи, инфильтраты брюшной полости, межкишечные абсцессы, стриктуры желудочно-кишечного тракта  и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дивертикулы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кишечное кровотечение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спаечные процессы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полипы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кишечное кровотечение</w:t>
      </w:r>
    </w:p>
    <w:p>
      <w:pPr>
        <w:ind w:left="504"/>
      </w:pPr>
      <w:r>
        <w:rPr>
          <w:b w:val="0"/>
          <w:i/>
        </w:rPr>
        <w:t>Кишечное кровотечение констатируют при потере более 100 мл крови/сутки по данным объективных лабораторных методов (сцинтиграфия, определение гемоглобина в каловых массах гемоглобинцианидным методом) или при объеме каловых масс с визуально определяемой примесью крови более 800 мл/сутки.</w:t>
        <w:br/>
        <w:br/>
        <w:t>Клинические рекомендации Российской Гастроэнтерологической Ассоциации и Ассоциации колопроктологов России Болезнь Крона, 2020 год, разделы «Клиническая картина заболевания или состояния (группы заболеваний или состояний)», «Хирургическое лечение болезни Крона».</w:t>
        <w:br/>
        <w:br/>
      </w:r>
      <w:hyperlink r:id="rId9">
        <w:r>
          <w:rPr>
            <w:color w:val="0F766E"/>
            <w:u w:val="single"/>
          </w:rPr>
          <w:t>Клинические рекомендации Министерства здравоохранения Российской Федерации. Болезнь Крона. 2020 г.</w:t>
        </w:r>
      </w:hyperlink>
      <w:r>
        <w:rPr>
          <w:b w:val="0"/>
          <w:i/>
        </w:rPr>
        <w:br/>
        <w:br/>
      </w:r>
      <w:hyperlink r:id="rId27">
        <w:r>
          <w:rPr>
            <w:color w:val="0F766E"/>
            <w:u w:val="single"/>
          </w:rPr>
          <w:t>(1)</w:t>
        </w:r>
      </w:hyperlink>
      <w:r>
        <w:rPr>
          <w:b w:val="0"/>
          <w:i/>
        </w:rPr>
        <w:br/>
        <w:br/>
      </w:r>
      <w:hyperlink r:id="rId28">
        <w:r>
          <w:rPr>
            <w:color w:val="0F766E"/>
            <w:u w:val="single"/>
          </w:rPr>
          <w:t>(2)</w:t>
        </w:r>
      </w:hyperlink>
      <w:r>
        <w:rPr>
          <w:b w:val="0"/>
          <w:i/>
        </w:rPr>
        <w:br/>
        <w:br/>
      </w:r>
      <w:hyperlink r:id="rId29">
        <w:r>
          <w:rPr>
            <w:color w:val="0F766E"/>
            <w:u w:val="single"/>
          </w:rPr>
          <w:t>(3)</w:t>
        </w:r>
      </w:hyperlink>
    </w:p>
    <w:p>
      <w:r>
        <w:rPr>
          <w:b/>
          <w:color w:val="0F766E"/>
        </w:rPr>
        <w:t>7. Вопрос</w:t>
      </w:r>
    </w:p>
    <w:p>
      <w:r>
        <w:rPr>
          <w:b w:val="0"/>
          <w:i w:val="0"/>
        </w:rPr>
        <w:t>Острым осложнением заболевания является кишечное кровотечение, перфорация кишки и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инфильтрат брюшной полости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свищ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стриктура желудочно-кишечного тракта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токсическая дилатация ободочной кишки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токсическая дилатация ободочной кишки</w:t>
      </w:r>
    </w:p>
    <w:p>
      <w:pPr>
        <w:ind w:left="504"/>
      </w:pPr>
      <w:r>
        <w:rPr>
          <w:b w:val="0"/>
          <w:i/>
        </w:rPr>
        <w:t>Токсическая дилатация ободочной кишки является осложнением при БК и представляет собой не связанное с обструкцией расширение ободочной кишки до 6,0 см и более с явлениями интоксикации. О развитии токсической дилатации свидетельствует внезапное сокращение частоты стула на фоне имевшейся диареи, вздутие живота, а также внезапное уменьшение или исчезновение болевого синдрома и нарастание симптомов интоксикации (нарастание тахикардии, снижение АД).</w:t>
        <w:br/>
        <w:br/>
        <w:t>Клинические рекомендации Российской Гастроэнтерологической Ассоциации и Ассоциации колопроктологов России Болезнь Крона, 2020 год, раздел «Хирургическое лечение болезни Крона».</w:t>
        <w:br/>
        <w:br/>
      </w:r>
      <w:hyperlink r:id="rId9">
        <w:r>
          <w:rPr>
            <w:color w:val="0F766E"/>
            <w:u w:val="single"/>
          </w:rPr>
          <w:t>Клинические рекомендации Министерства здравоохранения Российской Федерации. Болезнь Крона. 2020 г.</w:t>
        </w:r>
      </w:hyperlink>
      <w:r>
        <w:rPr>
          <w:b w:val="0"/>
          <w:i/>
        </w:rPr>
        <w:br/>
        <w:br/>
      </w:r>
      <w:hyperlink r:id="rId28">
        <w:r>
          <w:rPr>
            <w:color w:val="0F766E"/>
            <w:u w:val="single"/>
          </w:rPr>
          <w:t>(1)</w:t>
        </w:r>
      </w:hyperlink>
      <w:r>
        <w:rPr>
          <w:b w:val="0"/>
          <w:i/>
        </w:rPr>
        <w:br/>
        <w:br/>
      </w:r>
      <w:hyperlink r:id="rId30">
        <w:r>
          <w:rPr>
            <w:color w:val="0F766E"/>
            <w:u w:val="single"/>
          </w:rPr>
          <w:t>(2)</w:t>
        </w:r>
      </w:hyperlink>
    </w:p>
    <w:p>
      <w:pPr>
        <w:pStyle w:val="Heading2"/>
      </w:pPr>
      <w:r>
        <w:t>3. Лечение</w:t>
      </w:r>
    </w:p>
    <w:p>
      <w:r>
        <w:rPr>
          <w:b/>
          <w:color w:val="0F766E"/>
        </w:rPr>
        <w:t>8. Вопрос</w:t>
      </w:r>
    </w:p>
    <w:p>
      <w:r>
        <w:rPr>
          <w:b w:val="0"/>
          <w:i w:val="0"/>
        </w:rPr>
        <w:t>При тяжёлом обострении заболевания требуется назначение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преднизолона перорально или внутривенно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будесонида перорально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месалазина параректально по 1 свече на ночь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месалазина перорально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преднизолона перорально или внутривенно</w:t>
      </w:r>
    </w:p>
    <w:p>
      <w:pPr>
        <w:ind w:left="504"/>
      </w:pPr>
      <w:r>
        <w:rPr>
          <w:b w:val="0"/>
          <w:i/>
        </w:rPr>
        <w:t>Пациентам с тяжелым течением БК рекомендуется терапия кортикостероидами для системного применения (преднизолон или эквивалентные дозы других кортикостероидов) внутривенно или перорально</w:t>
        <w:br/>
        <w:br/>
        <w:t>Доза преднизолона при данной локализации и тяжести составляет 1-2 мг/ кг массы тела. Оценка терапевтического эффекта производится через 2-4 недели.</w:t>
        <w:br/>
        <w:br/>
        <w:t>Клинические рекомендации Российской Гастроэнтерологической Ассоциации и Ассоциации колопроктологов России Болезнь Крона, 2020 год, раздел «Консервативное лечение. Тяжёлое течение активной БК любой локализации».</w:t>
        <w:br/>
        <w:br/>
      </w:r>
      <w:hyperlink r:id="rId9">
        <w:r>
          <w:rPr>
            <w:color w:val="0F766E"/>
            <w:u w:val="single"/>
          </w:rPr>
          <w:t>Клинические рекомендации Министерства здравоохранения Российской Федерации. Болезнь Крона. 2020 г.</w:t>
        </w:r>
      </w:hyperlink>
      <w:r>
        <w:rPr>
          <w:b w:val="0"/>
          <w:i/>
        </w:rPr>
        <w:br/>
        <w:br/>
      </w:r>
      <w:hyperlink r:id="rId31">
        <w:r>
          <w:rPr>
            <w:color w:val="0F766E"/>
            <w:u w:val="single"/>
          </w:rPr>
          <w:t>(1)</w:t>
        </w:r>
      </w:hyperlink>
      <w:r>
        <w:rPr>
          <w:b w:val="0"/>
          <w:i/>
        </w:rPr>
        <w:br/>
        <w:br/>
      </w:r>
      <w:hyperlink r:id="rId32">
        <w:r>
          <w:rPr>
            <w:color w:val="0F766E"/>
            <w:u w:val="single"/>
          </w:rPr>
          <w:t>(2)</w:t>
        </w:r>
      </w:hyperlink>
    </w:p>
    <w:p>
      <w:r>
        <w:rPr>
          <w:b/>
          <w:color w:val="0F766E"/>
        </w:rPr>
        <w:t>9. Вопрос</w:t>
      </w:r>
    </w:p>
    <w:p>
      <w:r>
        <w:rPr>
          <w:b w:val="0"/>
          <w:i w:val="0"/>
        </w:rPr>
        <w:t>При тяжёлом обострении заболевания требуется назначение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антидепрессантов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производных салициловой кислоты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иммунодепрессантов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ингаляционных глюкокортикостероидов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иммунодепрессантов</w:t>
      </w:r>
    </w:p>
    <w:p>
      <w:pPr>
        <w:ind w:left="504"/>
      </w:pPr>
      <w:r>
        <w:rPr>
          <w:b w:val="0"/>
          <w:i/>
        </w:rPr>
        <w:t>Назначение иммуносупрессоров: азатиоприн (2-2,5 мг/кг), 6-меркаптопурин (1,5 мг/кг), а при непереносимости тиопуринов – метотрексат (25 мг/нед п/к или в/м).</w:t>
        <w:br/>
        <w:br/>
        <w:t>Клинические рекомендации Российской Гастроэнтерологической Ассоциации и Ассоциации колопроктологов России Болезнь Крона, 2020 год, раздел «Консервативное лечение. Тяжёлое течение активной БК любой локализации».</w:t>
        <w:br/>
        <w:br/>
      </w:r>
      <w:hyperlink r:id="rId9">
        <w:r>
          <w:rPr>
            <w:color w:val="0F766E"/>
            <w:u w:val="single"/>
          </w:rPr>
          <w:t>Клинические рекомендации Министерства здравоохранения Российской Федерации. Болезнь Крона. 2020 г.</w:t>
        </w:r>
      </w:hyperlink>
      <w:r>
        <w:rPr>
          <w:b w:val="0"/>
          <w:i/>
        </w:rPr>
        <w:br/>
        <w:br/>
      </w:r>
      <w:hyperlink r:id="rId33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10. Вопрос</w:t>
      </w:r>
    </w:p>
    <w:p>
      <w:r>
        <w:rPr>
          <w:b w:val="0"/>
          <w:i w:val="0"/>
        </w:rPr>
        <w:t>При отсутствии эффекта от  иммуносупрессоров показано проведение биологической терапии препаратом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инфликсимаб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азатиоприн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будесонид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месалазин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инфликсимаб</w:t>
      </w:r>
    </w:p>
    <w:p>
      <w:pPr>
        <w:ind w:left="504"/>
      </w:pPr>
      <w:r>
        <w:rPr>
          <w:b w:val="0"/>
          <w:i/>
        </w:rPr>
        <w:t>Группе пациентов с активной БК со стероидорезистентностью, стероидозависимостью, непереносимостью кортикостероидов, или при неэффективности (рецидив через 3-6 месяцев после отмены кортикостероидов на фоне азатиоприн/меркаптопурин ) или непереносимости иммунодепрессантов рекомендуется биологическая терапия ингибиторами факторами некроза опухоли альфа в виде индукционного курса (инфликсимаб, адалимумаб, цертолизумаба пэгол, устекинумаб или ведолизумаб), с последующим переходом на длительное (многолетнее) поддерживающее лечение.</w:t>
        <w:br/>
        <w:br/>
        <w:t>Дозы биологических препаратов (ингибиторов фактора некроза опухоли альфа) назначают в соответствии с инструкцией по применению.</w:t>
        <w:br/>
        <w:br/>
        <w:t>У всех пациентов с перианальным поражением БК в случае отсутствия показаний к хирургическому лечению или после него рекомендовано назначение иммунодепрессантов (азатиоприн, меркаптопурин, метотрексат) и/или биологических препаратов (ингибиторов фактора некроза опухоли альфа): инфликсимаб, адалимумаб, цертолизумаба пэгол, устекинумаб, ведолизумаб) в стандартных дозах</w:t>
        <w:br/>
        <w:br/>
        <w:t>Клинические рекомендации Российской Гастроэнтерологической Ассоциации и Ассоциации колопроктологов России Болезнь Крона, 2020 год, разделы «Консервативное лечение. Тяжёлое течение активной БК любой локализации», «Консервативное лечение. БК с перианальными поражениями.</w:t>
        <w:br/>
        <w:br/>
      </w:r>
      <w:hyperlink r:id="rId9">
        <w:r>
          <w:rPr>
            <w:color w:val="0F766E"/>
            <w:u w:val="single"/>
          </w:rPr>
          <w:t>Клинические рекомендации Министерства здравоохранения Российской Федерации. Болезнь Крона. 2020 г.</w:t>
        </w:r>
      </w:hyperlink>
      <w:r>
        <w:rPr>
          <w:b w:val="0"/>
          <w:i/>
        </w:rPr>
        <w:br/>
        <w:br/>
      </w:r>
      <w:hyperlink r:id="rId34">
        <w:r>
          <w:rPr>
            <w:color w:val="0F766E"/>
            <w:u w:val="single"/>
          </w:rPr>
          <w:t>(1)</w:t>
        </w:r>
      </w:hyperlink>
      <w:r>
        <w:rPr>
          <w:b w:val="0"/>
          <w:i/>
        </w:rPr>
        <w:br/>
        <w:br/>
      </w:r>
      <w:hyperlink r:id="rId35">
        <w:r>
          <w:rPr>
            <w:color w:val="0F766E"/>
            <w:u w:val="single"/>
          </w:rPr>
          <w:t>(2)</w:t>
        </w:r>
      </w:hyperlink>
      <w:r>
        <w:rPr>
          <w:b w:val="0"/>
          <w:i/>
        </w:rPr>
        <w:br/>
        <w:br/>
      </w:r>
      <w:hyperlink r:id="rId36">
        <w:r>
          <w:rPr>
            <w:color w:val="0F766E"/>
            <w:u w:val="single"/>
          </w:rPr>
          <w:t>(3)</w:t>
        </w:r>
      </w:hyperlink>
    </w:p>
    <w:p>
      <w:r>
        <w:rPr>
          <w:b/>
          <w:color w:val="0F766E"/>
        </w:rPr>
        <w:t>11. Вопрос</w:t>
      </w:r>
    </w:p>
    <w:p>
      <w:r>
        <w:rPr>
          <w:b w:val="0"/>
          <w:i w:val="0"/>
        </w:rPr>
        <w:t>Данной пациентке показано хирургическое лечение по поводу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ректовагинального свища и стриктуры анального канала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кишечного кровотечения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перфорации кишки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токсической дилатации ободочной кишки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ректовагинального свища и стриктуры анального канала</w:t>
      </w:r>
    </w:p>
    <w:p>
      <w:pPr>
        <w:ind w:left="504"/>
      </w:pPr>
      <w:r>
        <w:rPr>
          <w:b w:val="0"/>
          <w:i/>
        </w:rPr>
        <w:t>У пациентов с перианальными проявлениями БК, при ректовагинальном свище рекомендовано его иссечение с ушиванием дефекта влагалища и низведением полнослойного лоскута прямой кишки.</w:t>
        <w:br/>
        <w:br/>
        <w:t>Ректовагинальные свищи в большинстве случаев требуют хирургического вмешательства. При этом, оперативное лечение показано под прикрытием илеостомы.</w:t>
        <w:br/>
        <w:br/>
        <w:t>У пациентов с перианальными проявлениями БК, при наличии стриктуры нижне- ампулярного отдела прямой кишки или стеноза анального канала рекомендовано выполнение проктосигмоидэктомии (или проктэктомии) или брюшно-анальной резекции прямой кишки.</w:t>
        <w:br/>
        <w:br/>
        <w:t>Клинические рекомендации Российской Гастроэнтерологической Ассоциации и Ассоциации колопроктологов России Болезнь Крона, 2020 год, раздел «Хирургическое лечение БК с перианальными поражениями.</w:t>
        <w:br/>
        <w:br/>
      </w:r>
      <w:hyperlink r:id="rId9">
        <w:r>
          <w:rPr>
            <w:color w:val="0F766E"/>
            <w:u w:val="single"/>
          </w:rPr>
          <w:t>Клинические рекомендации Министерства здравоохранения Российской Федерации. Болезнь Крона. 2020 г.</w:t>
        </w:r>
      </w:hyperlink>
      <w:r>
        <w:rPr>
          <w:b w:val="0"/>
          <w:i/>
        </w:rPr>
        <w:br/>
        <w:br/>
      </w:r>
      <w:hyperlink r:id="rId37">
        <w:r>
          <w:rPr>
            <w:color w:val="0F766E"/>
            <w:u w:val="single"/>
          </w:rPr>
          <w:t>(1)</w:t>
        </w:r>
      </w:hyperlink>
      <w:r>
        <w:rPr>
          <w:b w:val="0"/>
          <w:i/>
        </w:rPr>
        <w:br/>
        <w:br/>
      </w:r>
      <w:hyperlink r:id="rId38">
        <w:r>
          <w:rPr>
            <w:color w:val="0F766E"/>
            <w:u w:val="single"/>
          </w:rPr>
          <w:t>(2)</w:t>
        </w:r>
      </w:hyperlink>
      <w:r>
        <w:rPr>
          <w:b w:val="0"/>
          <w:i/>
        </w:rPr>
        <w:br/>
        <w:br/>
      </w:r>
      <w:hyperlink r:id="rId39">
        <w:r>
          <w:rPr>
            <w:color w:val="0F766E"/>
            <w:u w:val="single"/>
          </w:rPr>
          <w:t>(3)</w:t>
        </w:r>
      </w:hyperlink>
    </w:p>
    <w:p>
      <w:pPr>
        <w:pStyle w:val="Heading2"/>
      </w:pPr>
      <w:r>
        <w:t>4. Вариатив</w:t>
      </w:r>
    </w:p>
    <w:p>
      <w:r>
        <w:rPr>
          <w:b/>
          <w:color w:val="0F766E"/>
        </w:rPr>
        <w:t>12. Вопрос</w:t>
      </w:r>
    </w:p>
    <w:p>
      <w:r>
        <w:rPr>
          <w:b w:val="0"/>
          <w:i w:val="0"/>
        </w:rPr>
        <w:t>В алгоритм профилактики послеоперационного рецидива заболевания входит +_____________+ через 6-12 месяцев после оперативного вмешательства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проведение УЗИ брюшной полости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проведение рентгенографии желудка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проведение ирригоскопии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эндоскопическое исследование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эндоскопическое исследование</w:t>
      </w:r>
    </w:p>
    <w:p>
      <w:pPr>
        <w:ind w:left="504"/>
      </w:pPr>
      <w:r>
        <w:rPr>
          <w:b w:val="0"/>
          <w:i/>
        </w:rPr>
        <w:t>Спустя 6-12 месяцев после операции всем оперированным пациентам с БК рекомендовано проведение контрольного эндоскопического обследования, а при необходимости МРТ и/или КТ брюшной полости</w:t>
        <w:br/>
        <w:br/>
        <w:t>Клинические рекомендации Российской Гастроэнтерологической Ассоциации и Ассоциации колопроктологов России Болезнь Крона, 2020 год, раздел «Противорецидивная терапия после хирургического лечения БК.</w:t>
        <w:br/>
        <w:br/>
      </w:r>
      <w:hyperlink r:id="rId9">
        <w:r>
          <w:rPr>
            <w:color w:val="0F766E"/>
            <w:u w:val="single"/>
          </w:rPr>
          <w:t>Клинические рекомендации Министерства здравоохранения Российской Федерации. Болезнь Крона. 2020 г.</w:t>
        </w:r>
      </w:hyperlink>
      <w:r>
        <w:rPr>
          <w:b w:val="0"/>
          <w:i/>
        </w:rPr>
        <w:br/>
        <w:br/>
      </w:r>
      <w:hyperlink r:id="rId40">
        <w:r>
          <w:rPr>
            <w:color w:val="0F766E"/>
            <w:u w:val="single"/>
          </w:rPr>
          <w:t>(1)</w:t>
        </w:r>
      </w:hyperlink>
      <w:r>
        <w:rPr>
          <w:b w:val="0"/>
          <w:i/>
        </w:rPr>
        <w:br/>
        <w:br/>
      </w:r>
      <w:hyperlink r:id="rId41">
        <w:r>
          <w:rPr>
            <w:color w:val="0F766E"/>
            <w:u w:val="single"/>
          </w:rPr>
          <w:t>(2)</w:t>
        </w:r>
      </w:hyperlink>
    </w:p>
    <w:sectPr w:rsidR="00FC693F" w:rsidRPr="0006063C" w:rsidSect="00034616"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Calibri" w:hAnsi="Calibri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Calibri" w:hAnsi="Calibri"/>
      <w:b/>
      <w:bCs/>
      <w:color w:val="0F766E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Calibri" w:hAnsi="Calibri"/>
      <w:b/>
      <w:bCs/>
      <w:color w:val="0F766E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Calibri" w:hAnsi="Calibri"/>
      <w:b/>
      <w:bCs/>
      <w:color w:val="0F766E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yperlink" Target="https://library.mededtech.ru/rest/documents/KP176_1/" TargetMode="External"/><Relationship Id="rId10" Type="http://schemas.openxmlformats.org/officeDocument/2006/relationships/hyperlink" Target="https://library.mededtech.ru/rest/documents/KP176_1/#list_item_1a95h0" TargetMode="External"/><Relationship Id="rId11" Type="http://schemas.openxmlformats.org/officeDocument/2006/relationships/hyperlink" Target="https://library.mededtech.ru/rest/documents/KP176_1/#list_item_4erqig" TargetMode="External"/><Relationship Id="rId12" Type="http://schemas.openxmlformats.org/officeDocument/2006/relationships/hyperlink" Target="https://library.mededtech.ru/rest/documents/KP176_1/#list_item_785e49" TargetMode="External"/><Relationship Id="rId13" Type="http://schemas.openxmlformats.org/officeDocument/2006/relationships/hyperlink" Target="https://library.mededtech.ru/rest/documents/KP176_1/#list_item_0c9dap" TargetMode="External"/><Relationship Id="rId14" Type="http://schemas.openxmlformats.org/officeDocument/2006/relationships/hyperlink" Target="https://library.mededtech.ru/rest/documents/KP176_1/#list_item_4905l9" TargetMode="External"/><Relationship Id="rId15" Type="http://schemas.openxmlformats.org/officeDocument/2006/relationships/hyperlink" Target="https://library.mededtech.ru/rest/documents/KP176_1/#list_item_bgg6kd" TargetMode="External"/><Relationship Id="rId16" Type="http://schemas.openxmlformats.org/officeDocument/2006/relationships/hyperlink" Target="https://library.mededtech.ru/rest/documents/KP176_1/#list_item_ght9rp" TargetMode="External"/><Relationship Id="rId17" Type="http://schemas.openxmlformats.org/officeDocument/2006/relationships/hyperlink" Target="https://library.mededtech.ru/rest/documents/KP176_1/#list_item_55qbai" TargetMode="External"/><Relationship Id="rId18" Type="http://schemas.openxmlformats.org/officeDocument/2006/relationships/hyperlink" Target="https://library.mededtech.ru/rest/documents/KP176_1/#paragraph_irre4i" TargetMode="External"/><Relationship Id="rId19" Type="http://schemas.openxmlformats.org/officeDocument/2006/relationships/hyperlink" Target="https://library.mededtech.ru/rest/documents/KP176_1/#list_item_ok67k5" TargetMode="External"/><Relationship Id="rId20" Type="http://schemas.openxmlformats.org/officeDocument/2006/relationships/hyperlink" Target="https://library.mededtech.ru/rest/documents/KP176_1/#list_item_mbu677" TargetMode="External"/><Relationship Id="rId21" Type="http://schemas.openxmlformats.org/officeDocument/2006/relationships/hyperlink" Target="https://library.mededtech.ru/rest/documents/KP176_1/#list_item_gcu7qp" TargetMode="External"/><Relationship Id="rId22" Type="http://schemas.openxmlformats.org/officeDocument/2006/relationships/hyperlink" Target="https://library.mededtech.ru/rest/documents/KP176_1/#paragraph_7h39r2" TargetMode="External"/><Relationship Id="rId23" Type="http://schemas.openxmlformats.org/officeDocument/2006/relationships/hyperlink" Target="https://library.mededtech.ru/rest/documents/KP176_1/#paragraph_h21bqt" TargetMode="External"/><Relationship Id="rId24" Type="http://schemas.openxmlformats.org/officeDocument/2006/relationships/hyperlink" Target="https://library.mededtech.ru/rest/documents/KP176_1/#paragraph_cq5i4j" TargetMode="External"/><Relationship Id="rId25" Type="http://schemas.openxmlformats.org/officeDocument/2006/relationships/hyperlink" Target="https://library.mededtech.ru/rest/documents/cr_151/" TargetMode="External"/><Relationship Id="rId26" Type="http://schemas.openxmlformats.org/officeDocument/2006/relationships/hyperlink" Target="https://library.mededtech.ru/rest/documents/cr_151/#table_63bqm" TargetMode="External"/><Relationship Id="rId27" Type="http://schemas.openxmlformats.org/officeDocument/2006/relationships/hyperlink" Target="https://library.mededtech.ru/rest/documents/KP176_1/#paragraph_l73st4" TargetMode="External"/><Relationship Id="rId28" Type="http://schemas.openxmlformats.org/officeDocument/2006/relationships/hyperlink" Target="https://library.mededtech.ru/rest/documents/KP176_1/#paragraph_c0lio6" TargetMode="External"/><Relationship Id="rId29" Type="http://schemas.openxmlformats.org/officeDocument/2006/relationships/hyperlink" Target="https://library.mededtech.ru/rest/documents/KP176_1/#paragraph_i5grp5" TargetMode="External"/><Relationship Id="rId30" Type="http://schemas.openxmlformats.org/officeDocument/2006/relationships/hyperlink" Target="https://library.mededtech.ru/rest/documents/KP176_1/#paragraph_9g2325" TargetMode="External"/><Relationship Id="rId31" Type="http://schemas.openxmlformats.org/officeDocument/2006/relationships/hyperlink" Target="https://library.mededtech.ru/rest/documents/KP176_1/#list_item_fvbtsv" TargetMode="External"/><Relationship Id="rId32" Type="http://schemas.openxmlformats.org/officeDocument/2006/relationships/hyperlink" Target="https://library.mededtech.ru/rest/documents/KP176_1/#paragraph_676rbm" TargetMode="External"/><Relationship Id="rId33" Type="http://schemas.openxmlformats.org/officeDocument/2006/relationships/hyperlink" Target="https://library.mededtech.ru/rest/documents/KP176_1/#list_item_384no6" TargetMode="External"/><Relationship Id="rId34" Type="http://schemas.openxmlformats.org/officeDocument/2006/relationships/hyperlink" Target="https://library.mededtech.ru/rest/documents/KP176_1/#list_item_7qjsi8" TargetMode="External"/><Relationship Id="rId35" Type="http://schemas.openxmlformats.org/officeDocument/2006/relationships/hyperlink" Target="https://library.mededtech.ru/rest/documents/KP176_1/#paragraph_cbdkfk" TargetMode="External"/><Relationship Id="rId36" Type="http://schemas.openxmlformats.org/officeDocument/2006/relationships/hyperlink" Target="https://library.mededtech.ru/rest/documents/KP176_1/#list_item_8jv8ke" TargetMode="External"/><Relationship Id="rId37" Type="http://schemas.openxmlformats.org/officeDocument/2006/relationships/hyperlink" Target="https://library.mededtech.ru/rest/documents/KP176_1/#list_item_ukgums" TargetMode="External"/><Relationship Id="rId38" Type="http://schemas.openxmlformats.org/officeDocument/2006/relationships/hyperlink" Target="https://library.mededtech.ru/rest/documents/KP176_1/#paragraph_1t4lp5" TargetMode="External"/><Relationship Id="rId39" Type="http://schemas.openxmlformats.org/officeDocument/2006/relationships/hyperlink" Target="https://library.mededtech.ru/rest/documents/KP176_1/#list_item_q3l72i" TargetMode="External"/><Relationship Id="rId40" Type="http://schemas.openxmlformats.org/officeDocument/2006/relationships/hyperlink" Target="https://library.mededtech.ru/rest/documents/KP176_1/#list_item_rtutdb" TargetMode="External"/><Relationship Id="rId41" Type="http://schemas.openxmlformats.org/officeDocument/2006/relationships/hyperlink" Target="https://library.mededtech.ru/rest/documents/KP176_1/#list_item_9en67q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